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B0D" w:rsidRDefault="00A02B0D" w:rsidP="00A02B0D">
      <w:pPr>
        <w:jc w:val="center"/>
        <w:rPr>
          <w:rFonts w:ascii="Arial" w:hAnsi="Arial" w:cs="Arial"/>
        </w:rPr>
      </w:pPr>
    </w:p>
    <w:p w:rsidR="00EA6414" w:rsidRDefault="0018607C" w:rsidP="00A9121C">
      <w:pPr>
        <w:autoSpaceDE w:val="0"/>
        <w:autoSpaceDN w:val="0"/>
        <w:adjustRightInd w:val="0"/>
        <w:jc w:val="both"/>
        <w:rPr>
          <w:b/>
          <w:bCs/>
          <w:i/>
          <w:iCs/>
          <w:color w:val="000000"/>
          <w:u w:val="single"/>
          <w:lang w:val="en-US"/>
        </w:rPr>
      </w:pPr>
      <w:r w:rsidRPr="00F139D5">
        <w:rPr>
          <w:b/>
          <w:bCs/>
          <w:i/>
          <w:iCs/>
          <w:color w:val="000000"/>
          <w:u w:val="single"/>
          <w:lang w:val="en-US"/>
        </w:rPr>
        <w:t>201</w:t>
      </w:r>
      <w:r w:rsidR="00A9121C">
        <w:rPr>
          <w:b/>
          <w:bCs/>
          <w:i/>
          <w:iCs/>
          <w:color w:val="000000"/>
          <w:u w:val="single"/>
          <w:lang w:val="en-US"/>
        </w:rPr>
        <w:t>2-01-19</w:t>
      </w:r>
      <w:r w:rsidR="00F139D5" w:rsidRPr="00F139D5">
        <w:rPr>
          <w:b/>
          <w:bCs/>
          <w:i/>
          <w:iCs/>
          <w:color w:val="000000"/>
          <w:u w:val="single"/>
          <w:lang w:val="en-US"/>
        </w:rPr>
        <w:t xml:space="preserve"> Re</w:t>
      </w:r>
      <w:r w:rsidR="00EA6414" w:rsidRPr="00F139D5">
        <w:rPr>
          <w:b/>
          <w:bCs/>
          <w:i/>
          <w:iCs/>
          <w:color w:val="000000"/>
          <w:u w:val="single"/>
          <w:lang w:val="en-US"/>
        </w:rPr>
        <w:t xml:space="preserve">port </w:t>
      </w:r>
      <w:r w:rsidR="00F139D5" w:rsidRPr="00F139D5">
        <w:rPr>
          <w:b/>
          <w:bCs/>
          <w:i/>
          <w:iCs/>
          <w:color w:val="000000"/>
          <w:u w:val="single"/>
          <w:lang w:val="en-US"/>
        </w:rPr>
        <w:t>no.</w:t>
      </w:r>
      <w:r w:rsidR="00EA6414" w:rsidRPr="00F139D5">
        <w:rPr>
          <w:b/>
          <w:bCs/>
          <w:i/>
          <w:iCs/>
          <w:color w:val="000000"/>
          <w:u w:val="single"/>
          <w:lang w:val="en-US"/>
        </w:rPr>
        <w:t xml:space="preserve"> </w:t>
      </w:r>
      <w:r w:rsidR="00A9121C">
        <w:rPr>
          <w:b/>
          <w:bCs/>
          <w:i/>
          <w:iCs/>
          <w:color w:val="000000"/>
          <w:u w:val="single"/>
          <w:lang w:val="en-US"/>
        </w:rPr>
        <w:t>03</w:t>
      </w:r>
      <w:r w:rsidR="00EB686E" w:rsidRPr="00F139D5">
        <w:rPr>
          <w:b/>
          <w:bCs/>
          <w:i/>
          <w:iCs/>
          <w:color w:val="000000"/>
          <w:u w:val="single"/>
          <w:lang w:val="en-US"/>
        </w:rPr>
        <w:t>/2012</w:t>
      </w:r>
      <w:r w:rsidR="00EA6414" w:rsidRPr="00F139D5">
        <w:rPr>
          <w:b/>
          <w:bCs/>
          <w:i/>
          <w:iCs/>
          <w:color w:val="000000"/>
          <w:u w:val="single"/>
          <w:lang w:val="en-US"/>
        </w:rPr>
        <w:t xml:space="preserve">: </w:t>
      </w:r>
      <w:r w:rsidR="00F139D5" w:rsidRPr="00F139D5">
        <w:rPr>
          <w:b/>
          <w:bCs/>
          <w:i/>
          <w:iCs/>
          <w:color w:val="000000"/>
          <w:u w:val="single"/>
          <w:lang w:val="en-US"/>
        </w:rPr>
        <w:t>Credit agreement</w:t>
      </w:r>
      <w:r w:rsidR="00EA6414" w:rsidRPr="00F139D5">
        <w:rPr>
          <w:b/>
          <w:bCs/>
          <w:i/>
          <w:iCs/>
          <w:color w:val="000000"/>
          <w:u w:val="single"/>
          <w:lang w:val="en-US"/>
        </w:rPr>
        <w:t xml:space="preserve"> </w:t>
      </w:r>
      <w:r w:rsidR="00F139D5">
        <w:rPr>
          <w:b/>
          <w:bCs/>
          <w:i/>
          <w:iCs/>
          <w:color w:val="000000"/>
          <w:u w:val="single"/>
          <w:lang w:val="en-US"/>
        </w:rPr>
        <w:t>with</w:t>
      </w:r>
      <w:r w:rsidR="00EA6414" w:rsidRPr="00F139D5">
        <w:rPr>
          <w:b/>
          <w:bCs/>
          <w:i/>
          <w:iCs/>
          <w:color w:val="000000"/>
          <w:u w:val="single"/>
          <w:lang w:val="en-US"/>
        </w:rPr>
        <w:t xml:space="preserve"> ING </w:t>
      </w:r>
      <w:r w:rsidR="00A52A42">
        <w:rPr>
          <w:b/>
          <w:bCs/>
          <w:i/>
          <w:iCs/>
          <w:color w:val="000000"/>
          <w:u w:val="single"/>
          <w:lang w:val="en-US"/>
        </w:rPr>
        <w:t xml:space="preserve">Lease </w:t>
      </w:r>
      <w:proofErr w:type="spellStart"/>
      <w:r w:rsidR="00EA6414" w:rsidRPr="00F139D5">
        <w:rPr>
          <w:b/>
          <w:bCs/>
          <w:i/>
          <w:iCs/>
          <w:color w:val="000000"/>
          <w:u w:val="single"/>
          <w:lang w:val="en-US"/>
        </w:rPr>
        <w:t>Polska</w:t>
      </w:r>
      <w:proofErr w:type="spellEnd"/>
      <w:r w:rsidR="00DC55CF">
        <w:rPr>
          <w:b/>
          <w:bCs/>
          <w:i/>
          <w:iCs/>
          <w:color w:val="000000"/>
          <w:u w:val="single"/>
          <w:lang w:val="en-US"/>
        </w:rPr>
        <w:t> </w:t>
      </w:r>
      <w:r w:rsidR="00E01E1C">
        <w:rPr>
          <w:b/>
          <w:bCs/>
          <w:i/>
          <w:iCs/>
          <w:color w:val="000000"/>
          <w:u w:val="single"/>
          <w:lang w:val="en-US"/>
        </w:rPr>
        <w:t> </w:t>
      </w:r>
      <w:r w:rsidR="00EA6414" w:rsidRPr="00F139D5">
        <w:rPr>
          <w:b/>
          <w:bCs/>
          <w:i/>
          <w:iCs/>
          <w:color w:val="000000"/>
          <w:u w:val="single"/>
          <w:lang w:val="en-US"/>
        </w:rPr>
        <w:t>S.A.</w:t>
      </w:r>
      <w:r w:rsidR="004C54A9">
        <w:rPr>
          <w:b/>
          <w:bCs/>
          <w:i/>
          <w:iCs/>
          <w:color w:val="000000"/>
          <w:u w:val="single"/>
          <w:lang w:val="en-US"/>
        </w:rPr>
        <w:t xml:space="preserve"> </w:t>
      </w:r>
    </w:p>
    <w:p w:rsidR="00A9121C" w:rsidRPr="00F139D5" w:rsidRDefault="00A9121C" w:rsidP="00A9121C">
      <w:pPr>
        <w:autoSpaceDE w:val="0"/>
        <w:autoSpaceDN w:val="0"/>
        <w:adjustRightInd w:val="0"/>
        <w:jc w:val="both"/>
        <w:rPr>
          <w:color w:val="000000"/>
          <w:lang w:val="en-US"/>
        </w:rPr>
      </w:pPr>
    </w:p>
    <w:p w:rsidR="00425CC9" w:rsidRPr="00F139D5" w:rsidRDefault="00425CC9" w:rsidP="006755B9">
      <w:pPr>
        <w:rPr>
          <w:lang w:val="en-US"/>
        </w:rPr>
      </w:pPr>
    </w:p>
    <w:p w:rsidR="00F139D5" w:rsidRDefault="00F139D5" w:rsidP="00F139D5">
      <w:pPr>
        <w:jc w:val="both"/>
        <w:rPr>
          <w:lang w:val="en-GB"/>
        </w:rPr>
      </w:pPr>
      <w:r w:rsidRPr="004D70D7">
        <w:rPr>
          <w:color w:val="000000"/>
          <w:lang w:val="en-GB"/>
        </w:rPr>
        <w:t xml:space="preserve">The Management Board of ING Bank </w:t>
      </w:r>
      <w:proofErr w:type="spellStart"/>
      <w:r w:rsidRPr="004D70D7">
        <w:rPr>
          <w:color w:val="000000"/>
          <w:lang w:val="en-GB"/>
        </w:rPr>
        <w:t>Śląski</w:t>
      </w:r>
      <w:proofErr w:type="spellEnd"/>
      <w:r w:rsidRPr="004D70D7">
        <w:rPr>
          <w:color w:val="000000"/>
          <w:lang w:val="en-GB"/>
        </w:rPr>
        <w:t xml:space="preserve"> S.A.</w:t>
      </w:r>
      <w:r w:rsidR="00F0572C">
        <w:rPr>
          <w:color w:val="000000"/>
          <w:lang w:val="en-GB"/>
        </w:rPr>
        <w:t xml:space="preserve"> hereby give notice that on 19</w:t>
      </w:r>
      <w:r>
        <w:rPr>
          <w:color w:val="000000"/>
          <w:lang w:val="en-GB"/>
        </w:rPr>
        <w:t xml:space="preserve"> January</w:t>
      </w:r>
      <w:r w:rsidR="000A642C">
        <w:rPr>
          <w:color w:val="000000"/>
          <w:lang w:val="en-GB"/>
        </w:rPr>
        <w:t xml:space="preserve"> </w:t>
      </w:r>
      <w:r w:rsidRPr="004D70D7">
        <w:rPr>
          <w:color w:val="000000"/>
          <w:lang w:val="en-GB"/>
        </w:rPr>
        <w:t>201</w:t>
      </w:r>
      <w:r>
        <w:rPr>
          <w:color w:val="000000"/>
          <w:lang w:val="en-GB"/>
        </w:rPr>
        <w:t>2</w:t>
      </w:r>
      <w:r w:rsidRPr="004D70D7">
        <w:rPr>
          <w:color w:val="000000"/>
          <w:lang w:val="en-GB"/>
        </w:rPr>
        <w:t xml:space="preserve"> the</w:t>
      </w:r>
      <w:r>
        <w:rPr>
          <w:color w:val="000000"/>
          <w:lang w:val="en-GB"/>
        </w:rPr>
        <w:t xml:space="preserve"> </w:t>
      </w:r>
      <w:r w:rsidRPr="004D70D7">
        <w:rPr>
          <w:lang w:val="en-GB"/>
        </w:rPr>
        <w:t xml:space="preserve">Bank concluded a credit agreement with </w:t>
      </w:r>
      <w:r w:rsidR="00D42462">
        <w:rPr>
          <w:lang w:val="en-GB"/>
        </w:rPr>
        <w:t>ING Lease</w:t>
      </w:r>
      <w:r>
        <w:rPr>
          <w:lang w:val="en-GB"/>
        </w:rPr>
        <w:t xml:space="preserve"> </w:t>
      </w:r>
      <w:proofErr w:type="spellStart"/>
      <w:r>
        <w:rPr>
          <w:lang w:val="en-GB"/>
        </w:rPr>
        <w:t>Polska</w:t>
      </w:r>
      <w:proofErr w:type="spellEnd"/>
      <w:r>
        <w:rPr>
          <w:lang w:val="en-GB"/>
        </w:rPr>
        <w:t xml:space="preserve"> S.A.</w:t>
      </w:r>
      <w:r w:rsidRPr="004D70D7">
        <w:rPr>
          <w:lang w:val="en-GB"/>
        </w:rPr>
        <w:t xml:space="preserve"> </w:t>
      </w:r>
      <w:r>
        <w:rPr>
          <w:lang w:val="en-GB"/>
        </w:rPr>
        <w:t>on providing the credit line totalling PLN</w:t>
      </w:r>
      <w:r w:rsidR="00F0572C">
        <w:rPr>
          <w:lang w:val="en-GB"/>
        </w:rPr>
        <w:t xml:space="preserve"> </w:t>
      </w:r>
      <w:r w:rsidR="00F0572C">
        <w:rPr>
          <w:color w:val="000000"/>
          <w:lang w:val="en-US"/>
        </w:rPr>
        <w:t>2,</w:t>
      </w:r>
      <w:r w:rsidR="00F0572C" w:rsidRPr="00F0572C">
        <w:rPr>
          <w:color w:val="000000"/>
          <w:lang w:val="en-US"/>
        </w:rPr>
        <w:t>0</w:t>
      </w:r>
      <w:r w:rsidR="00F0572C">
        <w:rPr>
          <w:color w:val="000000"/>
          <w:lang w:val="en-US"/>
        </w:rPr>
        <w:t>40,000,000.</w:t>
      </w:r>
      <w:r w:rsidR="00F0572C" w:rsidRPr="00F0572C">
        <w:rPr>
          <w:color w:val="000000"/>
          <w:lang w:val="en-US"/>
        </w:rPr>
        <w:t xml:space="preserve">00 </w:t>
      </w:r>
      <w:r>
        <w:rPr>
          <w:lang w:val="en-GB"/>
        </w:rPr>
        <w:t xml:space="preserve"> by 31 January 2013</w:t>
      </w:r>
      <w:r w:rsidR="004C54A9">
        <w:rPr>
          <w:lang w:val="en-GB"/>
        </w:rPr>
        <w:t xml:space="preserve"> (with potential extension)</w:t>
      </w:r>
      <w:r w:rsidRPr="004D70D7">
        <w:rPr>
          <w:lang w:val="en-GB"/>
        </w:rPr>
        <w:t xml:space="preserve">. </w:t>
      </w:r>
      <w:r>
        <w:rPr>
          <w:lang w:val="en-GB"/>
        </w:rPr>
        <w:t xml:space="preserve">This agreement </w:t>
      </w:r>
      <w:r w:rsidR="004C54A9">
        <w:rPr>
          <w:lang w:val="en-GB"/>
        </w:rPr>
        <w:t xml:space="preserve">supersedes </w:t>
      </w:r>
      <w:r>
        <w:rPr>
          <w:lang w:val="en-GB"/>
        </w:rPr>
        <w:t>the</w:t>
      </w:r>
      <w:r w:rsidR="00F0572C">
        <w:rPr>
          <w:lang w:val="en-GB"/>
        </w:rPr>
        <w:t xml:space="preserve"> framework</w:t>
      </w:r>
      <w:r w:rsidR="005B2ACF">
        <w:rPr>
          <w:lang w:val="en-GB"/>
        </w:rPr>
        <w:t xml:space="preserve"> </w:t>
      </w:r>
      <w:r>
        <w:rPr>
          <w:lang w:val="en-GB"/>
        </w:rPr>
        <w:t xml:space="preserve">agreement </w:t>
      </w:r>
      <w:r w:rsidR="00F0572C">
        <w:rPr>
          <w:lang w:val="en-GB"/>
        </w:rPr>
        <w:t xml:space="preserve">of 30 January 2006 as amended </w:t>
      </w:r>
      <w:r w:rsidR="008A72D7">
        <w:rPr>
          <w:lang w:val="en-GB"/>
        </w:rPr>
        <w:t>(covered by the current re</w:t>
      </w:r>
      <w:r w:rsidR="00F0572C">
        <w:rPr>
          <w:lang w:val="en-GB"/>
        </w:rPr>
        <w:t xml:space="preserve">port no. 02/2006 of 30 January 2006) and it also terminates </w:t>
      </w:r>
      <w:r>
        <w:rPr>
          <w:lang w:val="en-GB"/>
        </w:rPr>
        <w:t>the agreement on financial pledge on securities concluded by and betw</w:t>
      </w:r>
      <w:r w:rsidR="00B50006">
        <w:rPr>
          <w:lang w:val="en-GB"/>
        </w:rPr>
        <w:t>een the Bank and ING Lease</w:t>
      </w:r>
      <w:r w:rsidR="004C54A9">
        <w:rPr>
          <w:lang w:val="en-GB"/>
        </w:rPr>
        <w:t xml:space="preserve"> </w:t>
      </w:r>
      <w:r>
        <w:rPr>
          <w:lang w:val="en-GB"/>
        </w:rPr>
        <w:t xml:space="preserve">Polska S.A. on 09 April 2008 </w:t>
      </w:r>
      <w:r w:rsidR="008A72D7">
        <w:rPr>
          <w:lang w:val="en-GB"/>
        </w:rPr>
        <w:t xml:space="preserve">as amended </w:t>
      </w:r>
      <w:r>
        <w:rPr>
          <w:lang w:val="en-GB"/>
        </w:rPr>
        <w:t>(current repor</w:t>
      </w:r>
      <w:r w:rsidR="00F0572C">
        <w:rPr>
          <w:lang w:val="en-GB"/>
        </w:rPr>
        <w:t>t no. 08/2008 of 10 April 2008).</w:t>
      </w:r>
    </w:p>
    <w:p w:rsidR="00F0572C" w:rsidRDefault="00F0572C" w:rsidP="00F139D5">
      <w:pPr>
        <w:jc w:val="both"/>
        <w:rPr>
          <w:lang w:val="en-GB"/>
        </w:rPr>
      </w:pPr>
    </w:p>
    <w:p w:rsidR="00F139D5" w:rsidRPr="004D70D7" w:rsidRDefault="00F139D5" w:rsidP="00F139D5">
      <w:pPr>
        <w:jc w:val="both"/>
        <w:rPr>
          <w:bCs/>
          <w:color w:val="000000"/>
          <w:lang w:val="en-GB"/>
        </w:rPr>
      </w:pPr>
      <w:r w:rsidRPr="004D70D7">
        <w:rPr>
          <w:lang w:val="en-GB"/>
        </w:rPr>
        <w:t>T</w:t>
      </w:r>
      <w:r>
        <w:rPr>
          <w:lang w:val="en-GB"/>
        </w:rPr>
        <w:t>he t</w:t>
      </w:r>
      <w:r w:rsidRPr="004D70D7">
        <w:rPr>
          <w:lang w:val="en-GB"/>
        </w:rPr>
        <w:t xml:space="preserve">otal credit exposure of the Bank towards </w:t>
      </w:r>
      <w:r w:rsidR="00D42462">
        <w:rPr>
          <w:lang w:val="en-GB"/>
        </w:rPr>
        <w:t>ING Lease</w:t>
      </w:r>
      <w:bookmarkStart w:id="0" w:name="_GoBack"/>
      <w:bookmarkEnd w:id="0"/>
      <w:r>
        <w:rPr>
          <w:lang w:val="en-GB"/>
        </w:rPr>
        <w:t xml:space="preserve"> </w:t>
      </w:r>
      <w:proofErr w:type="spellStart"/>
      <w:r>
        <w:rPr>
          <w:lang w:val="en-GB"/>
        </w:rPr>
        <w:t>Polska</w:t>
      </w:r>
      <w:proofErr w:type="spellEnd"/>
      <w:r>
        <w:rPr>
          <w:lang w:val="en-GB"/>
        </w:rPr>
        <w:t xml:space="preserve"> S.A. is PLN </w:t>
      </w:r>
      <w:r w:rsidR="00F0572C">
        <w:rPr>
          <w:color w:val="000000"/>
          <w:lang w:val="en-US"/>
        </w:rPr>
        <w:t>2,</w:t>
      </w:r>
      <w:r w:rsidR="00F0572C" w:rsidRPr="00F0572C">
        <w:rPr>
          <w:color w:val="000000"/>
          <w:lang w:val="en-US"/>
        </w:rPr>
        <w:t>0</w:t>
      </w:r>
      <w:r w:rsidR="00F0572C">
        <w:rPr>
          <w:color w:val="000000"/>
          <w:lang w:val="en-US"/>
        </w:rPr>
        <w:t>40,000,000.</w:t>
      </w:r>
      <w:r w:rsidR="00F0572C" w:rsidRPr="00F0572C">
        <w:rPr>
          <w:color w:val="000000"/>
          <w:lang w:val="en-US"/>
        </w:rPr>
        <w:t>00</w:t>
      </w:r>
      <w:r w:rsidR="00F0572C">
        <w:rPr>
          <w:color w:val="000000"/>
          <w:lang w:val="en-US"/>
        </w:rPr>
        <w:t>.</w:t>
      </w:r>
      <w:r w:rsidR="00F0572C" w:rsidRPr="00F0572C">
        <w:rPr>
          <w:color w:val="000000"/>
          <w:lang w:val="en-US"/>
        </w:rPr>
        <w:t xml:space="preserve"> </w:t>
      </w:r>
      <w:r w:rsidR="00F0572C">
        <w:rPr>
          <w:lang w:val="en-GB"/>
        </w:rPr>
        <w:t xml:space="preserve"> </w:t>
      </w:r>
    </w:p>
    <w:p w:rsidR="00F139D5" w:rsidRPr="004D70D7" w:rsidRDefault="00F139D5" w:rsidP="00F139D5">
      <w:pPr>
        <w:jc w:val="both"/>
        <w:rPr>
          <w:lang w:val="en-GB"/>
        </w:rPr>
      </w:pPr>
    </w:p>
    <w:p w:rsidR="00F139D5" w:rsidRDefault="00F139D5" w:rsidP="00F139D5">
      <w:pPr>
        <w:autoSpaceDE w:val="0"/>
        <w:autoSpaceDN w:val="0"/>
        <w:adjustRightInd w:val="0"/>
        <w:jc w:val="both"/>
        <w:rPr>
          <w:bCs/>
          <w:color w:val="000000"/>
          <w:lang w:val="en-GB"/>
        </w:rPr>
      </w:pPr>
      <w:r w:rsidRPr="004D70D7">
        <w:rPr>
          <w:bCs/>
          <w:color w:val="000000"/>
          <w:lang w:val="en-GB"/>
        </w:rPr>
        <w:t xml:space="preserve">An agreement is considered significant </w:t>
      </w:r>
      <w:r>
        <w:rPr>
          <w:bCs/>
          <w:color w:val="000000"/>
          <w:lang w:val="en-GB"/>
        </w:rPr>
        <w:t>on the basis of the relation between</w:t>
      </w:r>
      <w:r w:rsidRPr="004D70D7">
        <w:rPr>
          <w:bCs/>
          <w:color w:val="000000"/>
          <w:lang w:val="en-GB"/>
        </w:rPr>
        <w:t xml:space="preserve"> the total value of exposure </w:t>
      </w:r>
      <w:r>
        <w:rPr>
          <w:bCs/>
          <w:color w:val="000000"/>
          <w:lang w:val="en-GB"/>
        </w:rPr>
        <w:t>to the</w:t>
      </w:r>
      <w:r w:rsidRPr="004D70D7">
        <w:rPr>
          <w:bCs/>
          <w:color w:val="000000"/>
          <w:lang w:val="en-GB"/>
        </w:rPr>
        <w:t xml:space="preserve"> Bank’s equity.</w:t>
      </w:r>
      <w:r>
        <w:rPr>
          <w:bCs/>
          <w:color w:val="000000"/>
          <w:lang w:val="en-GB"/>
        </w:rPr>
        <w:t xml:space="preserve"> </w:t>
      </w:r>
    </w:p>
    <w:p w:rsidR="005B2ACF" w:rsidRDefault="005B2ACF" w:rsidP="00F139D5">
      <w:pPr>
        <w:autoSpaceDE w:val="0"/>
        <w:autoSpaceDN w:val="0"/>
        <w:adjustRightInd w:val="0"/>
        <w:jc w:val="both"/>
        <w:rPr>
          <w:bCs/>
          <w:color w:val="000000"/>
          <w:lang w:val="en-GB"/>
        </w:rPr>
      </w:pPr>
    </w:p>
    <w:p w:rsidR="009F7000" w:rsidRPr="004D70D7" w:rsidRDefault="005B2ACF" w:rsidP="00F139D5">
      <w:pPr>
        <w:autoSpaceDE w:val="0"/>
        <w:autoSpaceDN w:val="0"/>
        <w:adjustRightInd w:val="0"/>
        <w:jc w:val="both"/>
        <w:rPr>
          <w:bCs/>
          <w:color w:val="000000"/>
          <w:lang w:val="en-GB"/>
        </w:rPr>
      </w:pPr>
      <w:r>
        <w:rPr>
          <w:bCs/>
          <w:color w:val="000000"/>
          <w:lang w:val="en-GB"/>
        </w:rPr>
        <w:t>The borrower is an affiliated entity of ING Bank Śląski S.A.</w:t>
      </w:r>
    </w:p>
    <w:p w:rsidR="00F139D5" w:rsidRPr="00B208E0" w:rsidRDefault="00F139D5" w:rsidP="009F7000">
      <w:pPr>
        <w:jc w:val="both"/>
        <w:rPr>
          <w:color w:val="000000"/>
          <w:lang w:val="en-GB"/>
        </w:rPr>
      </w:pPr>
    </w:p>
    <w:p w:rsidR="005D100C" w:rsidRDefault="005D100C" w:rsidP="005D100C">
      <w:pPr>
        <w:ind w:left="1872" w:hanging="1872"/>
        <w:jc w:val="both"/>
        <w:rPr>
          <w:color w:val="000000"/>
          <w:lang w:val="en-GB"/>
        </w:rPr>
      </w:pPr>
      <w:r>
        <w:rPr>
          <w:color w:val="000000"/>
          <w:lang w:val="en-GB"/>
        </w:rPr>
        <w:t xml:space="preserve">Legal grounds: </w:t>
      </w:r>
      <w:r>
        <w:rPr>
          <w:color w:val="000000"/>
          <w:lang w:val="en-GB"/>
        </w:rPr>
        <w:tab/>
        <w:t>§5 section 1 item 3) of the Ordinance of the Minister of Finance of 19.02.2009 on current and periodical information provided by securities issuers and conditions for recognising as equivalent the information required by law of a non-Member State (Journal of Laws No. 33, item 259, as amended).</w:t>
      </w:r>
    </w:p>
    <w:p w:rsidR="00463CDD" w:rsidRDefault="00463CDD" w:rsidP="005D100C">
      <w:pPr>
        <w:ind w:left="1872" w:hanging="1872"/>
        <w:jc w:val="both"/>
        <w:rPr>
          <w:color w:val="000000"/>
          <w:lang w:val="en-GB"/>
        </w:rPr>
      </w:pPr>
    </w:p>
    <w:p w:rsidR="00425CC9" w:rsidRPr="00F139D5" w:rsidRDefault="00425CC9" w:rsidP="006755B9">
      <w:pPr>
        <w:rPr>
          <w:sz w:val="22"/>
          <w:szCs w:val="22"/>
          <w:lang w:val="en-GB"/>
        </w:rPr>
      </w:pPr>
    </w:p>
    <w:sectPr w:rsidR="00425CC9" w:rsidRPr="00F139D5" w:rsidSect="00A02B0D">
      <w:pgSz w:w="11906" w:h="16838"/>
      <w:pgMar w:top="568"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10F5A"/>
    <w:multiLevelType w:val="hybridMultilevel"/>
    <w:tmpl w:val="C4963498"/>
    <w:lvl w:ilvl="0" w:tplc="DACC7CE4">
      <w:start w:val="2006"/>
      <w:numFmt w:val="decimal"/>
      <w:lvlText w:val="%1-"/>
      <w:lvlJc w:val="left"/>
      <w:pPr>
        <w:tabs>
          <w:tab w:val="num" w:pos="915"/>
        </w:tabs>
        <w:ind w:left="915" w:hanging="55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1C9B2A59"/>
    <w:multiLevelType w:val="multilevel"/>
    <w:tmpl w:val="B8F4002E"/>
    <w:lvl w:ilvl="0">
      <w:start w:val="2006"/>
      <w:numFmt w:val="decimal"/>
      <w:lvlText w:val="%1"/>
      <w:lvlJc w:val="left"/>
      <w:pPr>
        <w:tabs>
          <w:tab w:val="num" w:pos="1110"/>
        </w:tabs>
        <w:ind w:left="1110" w:hanging="1110"/>
      </w:pPr>
      <w:rPr>
        <w:rFonts w:hint="default"/>
      </w:rPr>
    </w:lvl>
    <w:lvl w:ilvl="1">
      <w:start w:val="1"/>
      <w:numFmt w:val="decimalZero"/>
      <w:lvlText w:val="%1-%2"/>
      <w:lvlJc w:val="left"/>
      <w:pPr>
        <w:tabs>
          <w:tab w:val="num" w:pos="1110"/>
        </w:tabs>
        <w:ind w:left="1110" w:hanging="1110"/>
      </w:pPr>
      <w:rPr>
        <w:rFonts w:hint="default"/>
      </w:rPr>
    </w:lvl>
    <w:lvl w:ilvl="2">
      <w:start w:val="27"/>
      <w:numFmt w:val="decimal"/>
      <w:lvlText w:val="%1-%2-%3"/>
      <w:lvlJc w:val="left"/>
      <w:pPr>
        <w:tabs>
          <w:tab w:val="num" w:pos="1110"/>
        </w:tabs>
        <w:ind w:left="1110" w:hanging="1110"/>
      </w:pPr>
      <w:rPr>
        <w:rFonts w:hint="default"/>
      </w:rPr>
    </w:lvl>
    <w:lvl w:ilvl="3">
      <w:start w:val="1"/>
      <w:numFmt w:val="decimal"/>
      <w:lvlText w:val="%1-%2-%3.%4"/>
      <w:lvlJc w:val="left"/>
      <w:pPr>
        <w:tabs>
          <w:tab w:val="num" w:pos="1110"/>
        </w:tabs>
        <w:ind w:left="1110" w:hanging="1110"/>
      </w:pPr>
      <w:rPr>
        <w:rFonts w:hint="default"/>
      </w:rPr>
    </w:lvl>
    <w:lvl w:ilvl="4">
      <w:start w:val="1"/>
      <w:numFmt w:val="decimal"/>
      <w:lvlText w:val="%1-%2-%3.%4.%5"/>
      <w:lvlJc w:val="left"/>
      <w:pPr>
        <w:tabs>
          <w:tab w:val="num" w:pos="1110"/>
        </w:tabs>
        <w:ind w:left="1110" w:hanging="1110"/>
      </w:pPr>
      <w:rPr>
        <w:rFonts w:hint="default"/>
      </w:rPr>
    </w:lvl>
    <w:lvl w:ilvl="5">
      <w:start w:val="1"/>
      <w:numFmt w:val="decimal"/>
      <w:lvlText w:val="%1-%2-%3.%4.%5.%6"/>
      <w:lvlJc w:val="left"/>
      <w:pPr>
        <w:tabs>
          <w:tab w:val="num" w:pos="1110"/>
        </w:tabs>
        <w:ind w:left="1110" w:hanging="11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210A3A36"/>
    <w:multiLevelType w:val="multilevel"/>
    <w:tmpl w:val="9AFC6698"/>
    <w:lvl w:ilvl="0">
      <w:start w:val="2006"/>
      <w:numFmt w:val="decimal"/>
      <w:lvlText w:val="%1"/>
      <w:lvlJc w:val="left"/>
      <w:pPr>
        <w:tabs>
          <w:tab w:val="num" w:pos="1230"/>
        </w:tabs>
        <w:ind w:left="1230" w:hanging="1230"/>
      </w:pPr>
      <w:rPr>
        <w:rFonts w:hint="default"/>
      </w:rPr>
    </w:lvl>
    <w:lvl w:ilvl="1">
      <w:start w:val="1"/>
      <w:numFmt w:val="decimalZero"/>
      <w:lvlText w:val="%1-%2"/>
      <w:lvlJc w:val="left"/>
      <w:pPr>
        <w:tabs>
          <w:tab w:val="num" w:pos="1230"/>
        </w:tabs>
        <w:ind w:left="1230" w:hanging="1230"/>
      </w:pPr>
      <w:rPr>
        <w:rFonts w:hint="default"/>
      </w:rPr>
    </w:lvl>
    <w:lvl w:ilvl="2">
      <w:start w:val="24"/>
      <w:numFmt w:val="decimal"/>
      <w:lvlText w:val="%1-%2-%3"/>
      <w:lvlJc w:val="left"/>
      <w:pPr>
        <w:tabs>
          <w:tab w:val="num" w:pos="1230"/>
        </w:tabs>
        <w:ind w:left="1230" w:hanging="1230"/>
      </w:pPr>
      <w:rPr>
        <w:rFonts w:hint="default"/>
      </w:rPr>
    </w:lvl>
    <w:lvl w:ilvl="3">
      <w:start w:val="1"/>
      <w:numFmt w:val="decimal"/>
      <w:lvlText w:val="%1-%2-%3.%4"/>
      <w:lvlJc w:val="left"/>
      <w:pPr>
        <w:tabs>
          <w:tab w:val="num" w:pos="1230"/>
        </w:tabs>
        <w:ind w:left="1230" w:hanging="1230"/>
      </w:pPr>
      <w:rPr>
        <w:rFonts w:hint="default"/>
      </w:rPr>
    </w:lvl>
    <w:lvl w:ilvl="4">
      <w:start w:val="1"/>
      <w:numFmt w:val="decimal"/>
      <w:lvlText w:val="%1-%2-%3.%4.%5"/>
      <w:lvlJc w:val="left"/>
      <w:pPr>
        <w:tabs>
          <w:tab w:val="num" w:pos="1230"/>
        </w:tabs>
        <w:ind w:left="1230" w:hanging="1230"/>
      </w:pPr>
      <w:rPr>
        <w:rFonts w:hint="default"/>
      </w:rPr>
    </w:lvl>
    <w:lvl w:ilvl="5">
      <w:start w:val="1"/>
      <w:numFmt w:val="decimal"/>
      <w:lvlText w:val="%1-%2-%3.%4.%5.%6"/>
      <w:lvlJc w:val="left"/>
      <w:pPr>
        <w:tabs>
          <w:tab w:val="num" w:pos="1230"/>
        </w:tabs>
        <w:ind w:left="1230" w:hanging="123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E3A"/>
    <w:rsid w:val="00054B2E"/>
    <w:rsid w:val="00076D8D"/>
    <w:rsid w:val="00084FF4"/>
    <w:rsid w:val="0009133B"/>
    <w:rsid w:val="000A642C"/>
    <w:rsid w:val="000C5B2C"/>
    <w:rsid w:val="000F7B54"/>
    <w:rsid w:val="0010012E"/>
    <w:rsid w:val="0013186D"/>
    <w:rsid w:val="001415D6"/>
    <w:rsid w:val="00141A8D"/>
    <w:rsid w:val="001708F5"/>
    <w:rsid w:val="0018607C"/>
    <w:rsid w:val="001F2A4C"/>
    <w:rsid w:val="00202E76"/>
    <w:rsid w:val="00246F0F"/>
    <w:rsid w:val="00256DB2"/>
    <w:rsid w:val="002647F5"/>
    <w:rsid w:val="00274402"/>
    <w:rsid w:val="00274CDA"/>
    <w:rsid w:val="002E41B7"/>
    <w:rsid w:val="002E442F"/>
    <w:rsid w:val="002F3334"/>
    <w:rsid w:val="003071C9"/>
    <w:rsid w:val="00332C59"/>
    <w:rsid w:val="00351F10"/>
    <w:rsid w:val="003600A8"/>
    <w:rsid w:val="003A2D9F"/>
    <w:rsid w:val="003C0E79"/>
    <w:rsid w:val="003D36F7"/>
    <w:rsid w:val="00425CC9"/>
    <w:rsid w:val="00437E91"/>
    <w:rsid w:val="00440B19"/>
    <w:rsid w:val="0044768C"/>
    <w:rsid w:val="004567C0"/>
    <w:rsid w:val="00463CDD"/>
    <w:rsid w:val="00487179"/>
    <w:rsid w:val="004C5106"/>
    <w:rsid w:val="004C54A9"/>
    <w:rsid w:val="004F1EFE"/>
    <w:rsid w:val="004F31B8"/>
    <w:rsid w:val="004F51CF"/>
    <w:rsid w:val="00544727"/>
    <w:rsid w:val="0058646A"/>
    <w:rsid w:val="00597DC8"/>
    <w:rsid w:val="005B2ACF"/>
    <w:rsid w:val="005D100C"/>
    <w:rsid w:val="005F4DF0"/>
    <w:rsid w:val="0060442C"/>
    <w:rsid w:val="0060745A"/>
    <w:rsid w:val="006555E8"/>
    <w:rsid w:val="006755B9"/>
    <w:rsid w:val="00681433"/>
    <w:rsid w:val="006A126F"/>
    <w:rsid w:val="006B64A5"/>
    <w:rsid w:val="006B68AF"/>
    <w:rsid w:val="006D26F1"/>
    <w:rsid w:val="00703E53"/>
    <w:rsid w:val="00753CF2"/>
    <w:rsid w:val="00767FAD"/>
    <w:rsid w:val="0077473A"/>
    <w:rsid w:val="007D0066"/>
    <w:rsid w:val="0082748E"/>
    <w:rsid w:val="00850327"/>
    <w:rsid w:val="008651A1"/>
    <w:rsid w:val="008834B6"/>
    <w:rsid w:val="008A72D7"/>
    <w:rsid w:val="008C1F2E"/>
    <w:rsid w:val="008F5B7C"/>
    <w:rsid w:val="009622B7"/>
    <w:rsid w:val="00965929"/>
    <w:rsid w:val="009A3ABF"/>
    <w:rsid w:val="009C7B5A"/>
    <w:rsid w:val="009F7000"/>
    <w:rsid w:val="009F7BAC"/>
    <w:rsid w:val="00A02B0D"/>
    <w:rsid w:val="00A04B97"/>
    <w:rsid w:val="00A10C4E"/>
    <w:rsid w:val="00A2467B"/>
    <w:rsid w:val="00A34A4B"/>
    <w:rsid w:val="00A52A42"/>
    <w:rsid w:val="00A9121C"/>
    <w:rsid w:val="00AF6BD0"/>
    <w:rsid w:val="00B03DA5"/>
    <w:rsid w:val="00B208E0"/>
    <w:rsid w:val="00B21C68"/>
    <w:rsid w:val="00B310CC"/>
    <w:rsid w:val="00B35E03"/>
    <w:rsid w:val="00B50006"/>
    <w:rsid w:val="00B55031"/>
    <w:rsid w:val="00B9069A"/>
    <w:rsid w:val="00B90E68"/>
    <w:rsid w:val="00B9258F"/>
    <w:rsid w:val="00BE4D9C"/>
    <w:rsid w:val="00C322CC"/>
    <w:rsid w:val="00C7342F"/>
    <w:rsid w:val="00C95E60"/>
    <w:rsid w:val="00CB3A51"/>
    <w:rsid w:val="00CB60E1"/>
    <w:rsid w:val="00CC1386"/>
    <w:rsid w:val="00CC47DD"/>
    <w:rsid w:val="00CE099D"/>
    <w:rsid w:val="00CF3F10"/>
    <w:rsid w:val="00CF3F3F"/>
    <w:rsid w:val="00D00705"/>
    <w:rsid w:val="00D01420"/>
    <w:rsid w:val="00D32A11"/>
    <w:rsid w:val="00D33B93"/>
    <w:rsid w:val="00D42462"/>
    <w:rsid w:val="00D562CD"/>
    <w:rsid w:val="00D61C03"/>
    <w:rsid w:val="00D62E1C"/>
    <w:rsid w:val="00DB4E3A"/>
    <w:rsid w:val="00DC55CF"/>
    <w:rsid w:val="00DE7B4E"/>
    <w:rsid w:val="00E00076"/>
    <w:rsid w:val="00E01E1C"/>
    <w:rsid w:val="00E038F2"/>
    <w:rsid w:val="00E15887"/>
    <w:rsid w:val="00E5239F"/>
    <w:rsid w:val="00E76261"/>
    <w:rsid w:val="00EA6414"/>
    <w:rsid w:val="00EA6FC4"/>
    <w:rsid w:val="00EB686E"/>
    <w:rsid w:val="00ED2A86"/>
    <w:rsid w:val="00EF10E8"/>
    <w:rsid w:val="00F0572C"/>
    <w:rsid w:val="00F139D5"/>
    <w:rsid w:val="00F411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D36F7"/>
    <w:pPr>
      <w:tabs>
        <w:tab w:val="center" w:pos="4536"/>
        <w:tab w:val="right" w:pos="9072"/>
      </w:tabs>
    </w:pPr>
    <w:rPr>
      <w:sz w:val="22"/>
      <w:szCs w:val="20"/>
    </w:rPr>
  </w:style>
  <w:style w:type="paragraph" w:styleId="Tekstdymka">
    <w:name w:val="Balloon Text"/>
    <w:basedOn w:val="Normalny"/>
    <w:semiHidden/>
    <w:rsid w:val="00256DB2"/>
    <w:rPr>
      <w:rFonts w:ascii="Tahoma" w:hAnsi="Tahoma" w:cs="Tahoma"/>
      <w:sz w:val="16"/>
      <w:szCs w:val="16"/>
    </w:rPr>
  </w:style>
  <w:style w:type="character" w:styleId="Odwoaniedokomentarza">
    <w:name w:val="annotation reference"/>
    <w:uiPriority w:val="99"/>
    <w:semiHidden/>
    <w:unhideWhenUsed/>
    <w:rsid w:val="00B21C68"/>
    <w:rPr>
      <w:sz w:val="16"/>
      <w:szCs w:val="16"/>
    </w:rPr>
  </w:style>
  <w:style w:type="paragraph" w:styleId="Tekstkomentarza">
    <w:name w:val="annotation text"/>
    <w:basedOn w:val="Normalny"/>
    <w:link w:val="TekstkomentarzaZnak"/>
    <w:uiPriority w:val="99"/>
    <w:semiHidden/>
    <w:unhideWhenUsed/>
    <w:rsid w:val="00B21C68"/>
    <w:rPr>
      <w:sz w:val="20"/>
      <w:szCs w:val="20"/>
    </w:rPr>
  </w:style>
  <w:style w:type="character" w:customStyle="1" w:styleId="TekstkomentarzaZnak">
    <w:name w:val="Tekst komentarza Znak"/>
    <w:basedOn w:val="Domylnaczcionkaakapitu"/>
    <w:link w:val="Tekstkomentarza"/>
    <w:uiPriority w:val="99"/>
    <w:semiHidden/>
    <w:rsid w:val="00B21C68"/>
  </w:style>
  <w:style w:type="paragraph" w:styleId="Tematkomentarza">
    <w:name w:val="annotation subject"/>
    <w:basedOn w:val="Tekstkomentarza"/>
    <w:next w:val="Tekstkomentarza"/>
    <w:link w:val="TematkomentarzaZnak"/>
    <w:uiPriority w:val="99"/>
    <w:semiHidden/>
    <w:unhideWhenUsed/>
    <w:rsid w:val="00B21C68"/>
    <w:rPr>
      <w:b/>
      <w:bCs/>
    </w:rPr>
  </w:style>
  <w:style w:type="character" w:customStyle="1" w:styleId="TematkomentarzaZnak">
    <w:name w:val="Temat komentarza Znak"/>
    <w:link w:val="Tematkomentarza"/>
    <w:uiPriority w:val="99"/>
    <w:semiHidden/>
    <w:rsid w:val="00B21C6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D36F7"/>
    <w:pPr>
      <w:tabs>
        <w:tab w:val="center" w:pos="4536"/>
        <w:tab w:val="right" w:pos="9072"/>
      </w:tabs>
    </w:pPr>
    <w:rPr>
      <w:sz w:val="22"/>
      <w:szCs w:val="20"/>
    </w:rPr>
  </w:style>
  <w:style w:type="paragraph" w:styleId="Tekstdymka">
    <w:name w:val="Balloon Text"/>
    <w:basedOn w:val="Normalny"/>
    <w:semiHidden/>
    <w:rsid w:val="00256DB2"/>
    <w:rPr>
      <w:rFonts w:ascii="Tahoma" w:hAnsi="Tahoma" w:cs="Tahoma"/>
      <w:sz w:val="16"/>
      <w:szCs w:val="16"/>
    </w:rPr>
  </w:style>
  <w:style w:type="character" w:styleId="Odwoaniedokomentarza">
    <w:name w:val="annotation reference"/>
    <w:uiPriority w:val="99"/>
    <w:semiHidden/>
    <w:unhideWhenUsed/>
    <w:rsid w:val="00B21C68"/>
    <w:rPr>
      <w:sz w:val="16"/>
      <w:szCs w:val="16"/>
    </w:rPr>
  </w:style>
  <w:style w:type="paragraph" w:styleId="Tekstkomentarza">
    <w:name w:val="annotation text"/>
    <w:basedOn w:val="Normalny"/>
    <w:link w:val="TekstkomentarzaZnak"/>
    <w:uiPriority w:val="99"/>
    <w:semiHidden/>
    <w:unhideWhenUsed/>
    <w:rsid w:val="00B21C68"/>
    <w:rPr>
      <w:sz w:val="20"/>
      <w:szCs w:val="20"/>
    </w:rPr>
  </w:style>
  <w:style w:type="character" w:customStyle="1" w:styleId="TekstkomentarzaZnak">
    <w:name w:val="Tekst komentarza Znak"/>
    <w:basedOn w:val="Domylnaczcionkaakapitu"/>
    <w:link w:val="Tekstkomentarza"/>
    <w:uiPriority w:val="99"/>
    <w:semiHidden/>
    <w:rsid w:val="00B21C68"/>
  </w:style>
  <w:style w:type="paragraph" w:styleId="Tematkomentarza">
    <w:name w:val="annotation subject"/>
    <w:basedOn w:val="Tekstkomentarza"/>
    <w:next w:val="Tekstkomentarza"/>
    <w:link w:val="TematkomentarzaZnak"/>
    <w:uiPriority w:val="99"/>
    <w:semiHidden/>
    <w:unhideWhenUsed/>
    <w:rsid w:val="00B21C68"/>
    <w:rPr>
      <w:b/>
      <w:bCs/>
    </w:rPr>
  </w:style>
  <w:style w:type="character" w:customStyle="1" w:styleId="TematkomentarzaZnak">
    <w:name w:val="Temat komentarza Znak"/>
    <w:link w:val="Tematkomentarza"/>
    <w:uiPriority w:val="99"/>
    <w:semiHidden/>
    <w:rsid w:val="00B21C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955334">
      <w:bodyDiv w:val="1"/>
      <w:marLeft w:val="0"/>
      <w:marRight w:val="0"/>
      <w:marTop w:val="0"/>
      <w:marBottom w:val="0"/>
      <w:divBdr>
        <w:top w:val="none" w:sz="0" w:space="0" w:color="auto"/>
        <w:left w:val="none" w:sz="0" w:space="0" w:color="auto"/>
        <w:bottom w:val="none" w:sz="0" w:space="0" w:color="auto"/>
        <w:right w:val="none" w:sz="0" w:space="0" w:color="auto"/>
      </w:divBdr>
    </w:div>
    <w:div w:id="963776639">
      <w:bodyDiv w:val="1"/>
      <w:marLeft w:val="0"/>
      <w:marRight w:val="0"/>
      <w:marTop w:val="0"/>
      <w:marBottom w:val="0"/>
      <w:divBdr>
        <w:top w:val="none" w:sz="0" w:space="0" w:color="auto"/>
        <w:left w:val="none" w:sz="0" w:space="0" w:color="auto"/>
        <w:bottom w:val="none" w:sz="0" w:space="0" w:color="auto"/>
        <w:right w:val="none" w:sz="0" w:space="0" w:color="auto"/>
      </w:divBdr>
    </w:div>
    <w:div w:id="167198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2" Target="numbering.xml" Type="http://schemas.openxmlformats.org/officeDocument/2006/relationships/numbering"/>
<Relationship Id="rId3" Target="styles.xml" Type="http://schemas.openxmlformats.org/officeDocument/2006/relationships/styles"/>
<Relationship Id="rId4" Target="stylesWithEffects.xml" Type="http://schemas.microsoft.com/office/2007/relationships/stylesWithEffects"/>
<Relationship Id="rId5" Target="settings.xml" Type="http://schemas.openxmlformats.org/officeDocument/2006/relationships/settings"/>
<Relationship Id="rId6" Target="webSettings.xml" Type="http://schemas.openxmlformats.org/officeDocument/2006/relationships/webSettings"/>
<Relationship Id="rId7" Target="fontTable.xml" Type="http://schemas.openxmlformats.org/officeDocument/2006/relationships/fontTable"/>
<Relationship Id="rId8" Target="theme/theme1.xml" Type="http://schemas.openxmlformats.org/officeDocument/2006/relationships/theme"/>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CD577-278A-4B25-BE1E-801AE7E36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2CDB6340.dotm</Template>
  <TotalTime>0</TotalTime>
  <Pages>1</Pages>
  <Words>209</Words>
  <Characters>1081</Characters>
  <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Zarząd Banku podaje do publicznej wiadomości stałe terminy przekazywania raportów okresowych ING Banku Śląskiego S</vt:lpstr>
    </vt:vector>
  </TitlesOfParts>
  <Company/>
  <LinksUpToDate>false</LinksUpToDate>
  <CharactersWithSpaces>1288</CharactersWithSpaces>
  <SharedDoc>false</SharedDoc>
  <HyperlinksChanged>false</HyperlinksChanged>
  <AppVersion/>
</Properties>
</file>

<file path=docProps/core.xml><?xml version="1.0" encoding="utf-8"?>
<cp:coreProperties xmlns:cp="http://schemas.openxmlformats.org/package/2006/metadata/core-properties" xmlns:dc="http://purl.org/dc/elements/1.1/" xmlns:dcterms="http://purl.org/dc/terms/" xmlns:xsi="http://www.w3.org/2001/XMLSchema-instance">
  <cp:lastModifiedBy>Anna Roehrich-Szwugier</cp:lastModifiedBy>
  <cp:revision>5</cp:revision>
</cp:coreProperties>
</file>