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B6" w:rsidRPr="000738D5" w:rsidRDefault="00063581" w:rsidP="00843710">
      <w:pPr>
        <w:jc w:val="both"/>
        <w:rPr>
          <w:lang w:val="en-US"/>
        </w:rPr>
      </w:pPr>
      <w:r>
        <w:rPr>
          <w:b/>
          <w:bCs/>
          <w:i/>
          <w:iCs/>
          <w:u w:val="single"/>
          <w:lang w:val="en-GB"/>
        </w:rPr>
        <w:t xml:space="preserve">2012-01-19 Report no 04/2012: Dates of Filing Periodic Reports of ING Bank Śląski S.A. </w:t>
      </w:r>
      <w:r w:rsidR="000738D5">
        <w:rPr>
          <w:b/>
          <w:bCs/>
          <w:i/>
          <w:iCs/>
          <w:u w:val="single"/>
          <w:lang w:val="en-GB"/>
        </w:rPr>
        <w:t>for the year</w:t>
      </w:r>
      <w:r>
        <w:rPr>
          <w:b/>
          <w:bCs/>
          <w:i/>
          <w:iCs/>
          <w:u w:val="single"/>
          <w:lang w:val="en-GB"/>
        </w:rPr>
        <w:t> 2012.</w:t>
      </w:r>
    </w:p>
    <w:p w:rsidR="001F2887" w:rsidRPr="000738D5" w:rsidRDefault="001F2887" w:rsidP="00843710">
      <w:pPr>
        <w:jc w:val="both"/>
        <w:rPr>
          <w:lang w:val="en-US"/>
        </w:rPr>
      </w:pPr>
    </w:p>
    <w:p w:rsidR="00246497" w:rsidRPr="000738D5" w:rsidRDefault="00246497" w:rsidP="00843710">
      <w:pPr>
        <w:jc w:val="both"/>
        <w:rPr>
          <w:lang w:val="en-US"/>
        </w:rPr>
      </w:pPr>
    </w:p>
    <w:p w:rsidR="00DB4E3A" w:rsidRPr="000738D5" w:rsidRDefault="00127862" w:rsidP="00843710">
      <w:pPr>
        <w:jc w:val="both"/>
        <w:rPr>
          <w:lang w:val="en-US"/>
        </w:rPr>
      </w:pPr>
      <w:r>
        <w:rPr>
          <w:lang w:val="en-GB"/>
        </w:rPr>
        <w:t>The Management Board of ING Bank Śląski S.A. hereby give notice of fixed dates of filing periodic reports of ING Bank Śląski S.A. for the year 2012.</w:t>
      </w:r>
    </w:p>
    <w:p w:rsidR="00DB4E3A" w:rsidRPr="000738D5" w:rsidRDefault="00DB4E3A" w:rsidP="00843710">
      <w:pPr>
        <w:jc w:val="both"/>
        <w:rPr>
          <w:lang w:val="en-US"/>
        </w:rPr>
      </w:pPr>
    </w:p>
    <w:p w:rsidR="00F126A2" w:rsidRPr="000738D5" w:rsidRDefault="00F126A2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GB"/>
        </w:rPr>
        <w:t>Consolidated quarterly reports, including abbreviated consolidated financial statements and abbreviated standalone financial statements:</w:t>
      </w:r>
    </w:p>
    <w:p w:rsidR="00F126A2" w:rsidRPr="000738D5" w:rsidRDefault="00F126A2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</w:p>
    <w:p w:rsidR="00F126A2" w:rsidRPr="000738D5" w:rsidRDefault="00F126A2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GB"/>
        </w:rPr>
        <w:t>Q1:</w:t>
      </w:r>
      <w:r>
        <w:rPr>
          <w:sz w:val="24"/>
          <w:szCs w:val="24"/>
          <w:lang w:val="en-GB"/>
        </w:rPr>
        <w:tab/>
        <w:t>09 May 2012</w:t>
      </w:r>
    </w:p>
    <w:p w:rsidR="00F126A2" w:rsidRPr="00612698" w:rsidRDefault="00612698" w:rsidP="00612698">
      <w:pPr>
        <w:pStyle w:val="Nagwek"/>
        <w:tabs>
          <w:tab w:val="clear" w:pos="4536"/>
          <w:tab w:val="clear" w:pos="9072"/>
        </w:tabs>
        <w:ind w:left="705" w:hanging="705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Q2:</w:t>
      </w:r>
      <w:r>
        <w:rPr>
          <w:sz w:val="24"/>
          <w:szCs w:val="24"/>
          <w:lang w:val="en-GB"/>
        </w:rPr>
        <w:tab/>
      </w:r>
      <w:r w:rsidR="00F126A2">
        <w:rPr>
          <w:sz w:val="24"/>
          <w:szCs w:val="24"/>
          <w:lang w:val="en-GB"/>
        </w:rPr>
        <w:t>in keeping with §101 paragraph 2 of the Finance Mini</w:t>
      </w:r>
      <w:r w:rsidR="008A14CE">
        <w:rPr>
          <w:sz w:val="24"/>
          <w:szCs w:val="24"/>
          <w:lang w:val="en-GB"/>
        </w:rPr>
        <w:t>ster's Ordinance of 19 February </w:t>
      </w:r>
      <w:r w:rsidR="00F126A2">
        <w:rPr>
          <w:sz w:val="24"/>
          <w:szCs w:val="24"/>
          <w:lang w:val="en-GB"/>
        </w:rPr>
        <w:t>2009 on current and periodic reports published by the issuers of securities and the rules of equal treatment of the information required by the laws of non-member states, ING Bank Śląski S.A. will not publish a quarterly report for the second quarter of 2012.</w:t>
      </w:r>
    </w:p>
    <w:p w:rsidR="00F126A2" w:rsidRPr="000738D5" w:rsidRDefault="00F126A2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GB"/>
        </w:rPr>
        <w:t>Q3:</w:t>
      </w:r>
      <w:r>
        <w:rPr>
          <w:sz w:val="24"/>
          <w:szCs w:val="24"/>
          <w:lang w:val="en-GB"/>
        </w:rPr>
        <w:tab/>
        <w:t>07 November 2012</w:t>
      </w:r>
    </w:p>
    <w:p w:rsidR="00F126A2" w:rsidRPr="000738D5" w:rsidRDefault="00F126A2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GB"/>
        </w:rPr>
        <w:t>Q4:</w:t>
      </w:r>
      <w:r>
        <w:rPr>
          <w:sz w:val="24"/>
          <w:szCs w:val="24"/>
          <w:lang w:val="en-GB"/>
        </w:rPr>
        <w:tab/>
        <w:t>13 February 2013</w:t>
      </w:r>
    </w:p>
    <w:p w:rsidR="00A94647" w:rsidRPr="000738D5" w:rsidRDefault="00A94647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</w:p>
    <w:p w:rsidR="00F126A2" w:rsidRPr="000738D5" w:rsidRDefault="00F126A2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GB"/>
        </w:rPr>
        <w:t>Consolidated semi-annual report, including abbreviated consolidated financial statements and abbreviated standalone financial statements:</w:t>
      </w:r>
    </w:p>
    <w:p w:rsidR="00F126A2" w:rsidRPr="000738D5" w:rsidRDefault="003F7C39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GB"/>
        </w:rPr>
        <w:t>08 August 2012</w:t>
      </w:r>
    </w:p>
    <w:p w:rsidR="00F126A2" w:rsidRPr="000738D5" w:rsidRDefault="00F126A2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</w:p>
    <w:p w:rsidR="00F126A2" w:rsidRPr="000738D5" w:rsidRDefault="00F126A2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GB"/>
        </w:rPr>
        <w:t>Annual Report:</w:t>
      </w:r>
    </w:p>
    <w:p w:rsidR="00F126A2" w:rsidRPr="000738D5" w:rsidRDefault="00F126A2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GB"/>
        </w:rPr>
        <w:t>31 March 2013</w:t>
      </w:r>
    </w:p>
    <w:p w:rsidR="00F126A2" w:rsidRPr="000738D5" w:rsidRDefault="00F126A2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</w:p>
    <w:p w:rsidR="00F126A2" w:rsidRPr="000738D5" w:rsidRDefault="00F126A2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GB"/>
        </w:rPr>
        <w:t>Consolidated Annual Report:</w:t>
      </w:r>
    </w:p>
    <w:p w:rsidR="00F126A2" w:rsidRPr="00063581" w:rsidRDefault="00F126A2" w:rsidP="00F126A2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  <w:lang w:val="en-GB"/>
        </w:rPr>
        <w:t>31 March 2013</w:t>
      </w:r>
    </w:p>
    <w:p w:rsidR="00F126A2" w:rsidRDefault="00F126A2" w:rsidP="00843710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437604" w:rsidRDefault="00437604" w:rsidP="00843710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437604" w:rsidRPr="00437604" w:rsidRDefault="00437604" w:rsidP="00437604">
      <w:pPr>
        <w:pStyle w:val="Nagwek"/>
        <w:jc w:val="both"/>
      </w:pPr>
    </w:p>
    <w:p w:rsidR="00437604" w:rsidRPr="00437604" w:rsidRDefault="00437604" w:rsidP="00437604">
      <w:pPr>
        <w:pStyle w:val="Nagwek"/>
        <w:tabs>
          <w:tab w:val="clear" w:pos="4536"/>
          <w:tab w:val="clear" w:pos="9072"/>
        </w:tabs>
        <w:ind w:left="2124" w:hanging="2124"/>
        <w:jc w:val="both"/>
        <w:rPr>
          <w:sz w:val="24"/>
          <w:szCs w:val="24"/>
          <w:lang w:val="en-US"/>
        </w:rPr>
      </w:pPr>
      <w:r w:rsidRPr="00437604">
        <w:rPr>
          <w:sz w:val="24"/>
          <w:szCs w:val="24"/>
          <w:lang w:val="en-US"/>
        </w:rPr>
        <w:t xml:space="preserve">Legal grounds: </w:t>
      </w:r>
      <w:r w:rsidRPr="00437604">
        <w:rPr>
          <w:sz w:val="24"/>
          <w:szCs w:val="24"/>
          <w:lang w:val="en-US"/>
        </w:rPr>
        <w:tab/>
        <w:t xml:space="preserve">§103 section 1 of the Ordinance of the Minister of Finance of 19 </w:t>
      </w:r>
      <w:bookmarkStart w:id="0" w:name="_GoBack"/>
      <w:bookmarkEnd w:id="0"/>
      <w:r w:rsidRPr="00437604">
        <w:rPr>
          <w:sz w:val="24"/>
          <w:szCs w:val="24"/>
          <w:lang w:val="en-US"/>
        </w:rPr>
        <w:t>February 2009 on current and periodical information provided by securities issuers and the rules of equal treatment of the information required by the law of a non-Member State (Journal of Laws No. 33, item 259, as amended).</w:t>
      </w:r>
    </w:p>
    <w:sectPr w:rsidR="00437604" w:rsidRPr="004376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XmlVersion" w:val="Empty"/>
  </w:docVars>
  <w:rsids>
    <w:rsidRoot w:val="00DB4E3A"/>
    <w:rsid w:val="00031AC9"/>
    <w:rsid w:val="00063581"/>
    <w:rsid w:val="000738D5"/>
    <w:rsid w:val="0011067D"/>
    <w:rsid w:val="00127862"/>
    <w:rsid w:val="00137F8B"/>
    <w:rsid w:val="001C4611"/>
    <w:rsid w:val="001D6F2D"/>
    <w:rsid w:val="001F2887"/>
    <w:rsid w:val="00206FCF"/>
    <w:rsid w:val="00246497"/>
    <w:rsid w:val="00253E58"/>
    <w:rsid w:val="0026607C"/>
    <w:rsid w:val="00296E07"/>
    <w:rsid w:val="002D107F"/>
    <w:rsid w:val="002E41B7"/>
    <w:rsid w:val="0030018B"/>
    <w:rsid w:val="00301E2D"/>
    <w:rsid w:val="00343AF8"/>
    <w:rsid w:val="00351F10"/>
    <w:rsid w:val="003C1DA0"/>
    <w:rsid w:val="003D36F7"/>
    <w:rsid w:val="003F7C39"/>
    <w:rsid w:val="0042440E"/>
    <w:rsid w:val="00437604"/>
    <w:rsid w:val="00440B19"/>
    <w:rsid w:val="004472F5"/>
    <w:rsid w:val="004F3D89"/>
    <w:rsid w:val="00550358"/>
    <w:rsid w:val="005647C0"/>
    <w:rsid w:val="00570E5C"/>
    <w:rsid w:val="00597DC8"/>
    <w:rsid w:val="005C0237"/>
    <w:rsid w:val="005C54E9"/>
    <w:rsid w:val="005E1C0D"/>
    <w:rsid w:val="005F7ACB"/>
    <w:rsid w:val="0060442C"/>
    <w:rsid w:val="00612698"/>
    <w:rsid w:val="006206A7"/>
    <w:rsid w:val="00687D5F"/>
    <w:rsid w:val="006B170E"/>
    <w:rsid w:val="0070635C"/>
    <w:rsid w:val="0075166C"/>
    <w:rsid w:val="00753CF2"/>
    <w:rsid w:val="00775261"/>
    <w:rsid w:val="00843710"/>
    <w:rsid w:val="008834B6"/>
    <w:rsid w:val="00895C85"/>
    <w:rsid w:val="008A14CE"/>
    <w:rsid w:val="008D04BA"/>
    <w:rsid w:val="00922312"/>
    <w:rsid w:val="00965929"/>
    <w:rsid w:val="00985A16"/>
    <w:rsid w:val="00994A04"/>
    <w:rsid w:val="009B1CF5"/>
    <w:rsid w:val="00A04B97"/>
    <w:rsid w:val="00A1291D"/>
    <w:rsid w:val="00A165C9"/>
    <w:rsid w:val="00A37D4D"/>
    <w:rsid w:val="00A94647"/>
    <w:rsid w:val="00AA310B"/>
    <w:rsid w:val="00AB0BF8"/>
    <w:rsid w:val="00B422D1"/>
    <w:rsid w:val="00BE4D9C"/>
    <w:rsid w:val="00C11941"/>
    <w:rsid w:val="00C67624"/>
    <w:rsid w:val="00CB3711"/>
    <w:rsid w:val="00CE0178"/>
    <w:rsid w:val="00D33B93"/>
    <w:rsid w:val="00D50A3A"/>
    <w:rsid w:val="00D91B03"/>
    <w:rsid w:val="00DB4E3A"/>
    <w:rsid w:val="00DD54E1"/>
    <w:rsid w:val="00E77BF5"/>
    <w:rsid w:val="00E850EF"/>
    <w:rsid w:val="00E95B94"/>
    <w:rsid w:val="00EB5576"/>
    <w:rsid w:val="00ED4A65"/>
    <w:rsid w:val="00EF10E8"/>
    <w:rsid w:val="00F00ECB"/>
    <w:rsid w:val="00F126A2"/>
    <w:rsid w:val="00F26FF0"/>
    <w:rsid w:val="00F839EA"/>
    <w:rsid w:val="00FF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D36F7"/>
    <w:pPr>
      <w:tabs>
        <w:tab w:val="center" w:pos="4536"/>
        <w:tab w:val="right" w:pos="9072"/>
      </w:tabs>
    </w:pPr>
    <w:rPr>
      <w:sz w:val="22"/>
      <w:szCs w:val="20"/>
    </w:rPr>
  </w:style>
  <w:style w:type="paragraph" w:styleId="Tekstdymka">
    <w:name w:val="Balloon Text"/>
    <w:basedOn w:val="Normalny"/>
    <w:semiHidden/>
    <w:rsid w:val="00985A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D36F7"/>
    <w:pPr>
      <w:tabs>
        <w:tab w:val="center" w:pos="4536"/>
        <w:tab w:val="right" w:pos="9072"/>
      </w:tabs>
    </w:pPr>
    <w:rPr>
      <w:sz w:val="22"/>
      <w:szCs w:val="20"/>
    </w:rPr>
  </w:style>
  <w:style w:type="paragraph" w:styleId="Tekstdymka">
    <w:name w:val="Balloon Text"/>
    <w:basedOn w:val="Normalny"/>
    <w:semiHidden/>
    <w:rsid w:val="00985A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<Relationship Id="rId1" Target="styles.xml" Type="http://schemas.openxmlformats.org/officeDocument/2006/relationships/styles"/>
<Relationship Id="rId2" Target="stylesWithEffects.xml" Type="http://schemas.microsoft.com/office/2007/relationships/stylesWithEffect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ntTable.xml" Type="http://schemas.openxmlformats.org/officeDocument/2006/relationships/fontTable"/>
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613ECC5A.dotm</Template>
  <TotalTime>0</TotalTime>
  <Pages>1</Pages>
  <Words>208</Words>
  <Characters>1130</Characters>
  <Application/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Banku podaje do publicznej wiadomości stałe terminy przekazywania raportów okresowych ING Banku Śląskiego S</vt:lpstr>
    </vt:vector>
  </TitlesOfParts>
  <Company/>
  <LinksUpToDate>false</LinksUpToDate>
  <CharactersWithSpaces>1336</CharactersWithSpaces>
  <SharedDoc>false</SharedDoc>
  <HyperlinksChanged>false</HyperlinksChanged>
  <AppVers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Anna Roehrich-Szwugier</cp:lastModifiedBy>
  <cp:revision>3</cp:revision>
</cp:coreProperties>
</file>