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27C" w:rsidRPr="00031F65" w:rsidRDefault="00F9624F" w:rsidP="002F2429">
      <w:pPr>
        <w:jc w:val="both"/>
        <w:rPr>
          <w:i/>
          <w:lang w:val="en-US"/>
        </w:rPr>
      </w:pPr>
      <w:r>
        <w:rPr>
          <w:b/>
          <w:bCs/>
          <w:i/>
          <w:iCs/>
          <w:u w:val="single"/>
          <w:lang w:val="en-GB"/>
        </w:rPr>
        <w:t>2012-06-29 report no. 17/2012: Conclusion of a Significant Agreement</w:t>
      </w:r>
      <w:r w:rsidR="00031F65">
        <w:rPr>
          <w:b/>
          <w:bCs/>
          <w:i/>
          <w:iCs/>
          <w:u w:val="single"/>
          <w:lang w:val="en-GB"/>
        </w:rPr>
        <w:t>.</w:t>
      </w:r>
      <w:bookmarkStart w:id="0" w:name="_GoBack"/>
      <w:bookmarkEnd w:id="0"/>
    </w:p>
    <w:p w:rsidR="00841811" w:rsidRPr="00031F65" w:rsidRDefault="00841811" w:rsidP="002F2429">
      <w:pPr>
        <w:jc w:val="both"/>
        <w:rPr>
          <w:lang w:val="en-US"/>
        </w:rPr>
      </w:pPr>
    </w:p>
    <w:p w:rsidR="00F9624F" w:rsidRPr="00031F65" w:rsidRDefault="00F9624F" w:rsidP="00F9624F">
      <w:pPr>
        <w:autoSpaceDE w:val="0"/>
        <w:autoSpaceDN w:val="0"/>
        <w:adjustRightInd w:val="0"/>
        <w:jc w:val="both"/>
        <w:rPr>
          <w:color w:val="000000"/>
          <w:lang w:val="en-US"/>
        </w:rPr>
      </w:pPr>
      <w:r>
        <w:rPr>
          <w:color w:val="000000"/>
          <w:lang w:val="en-GB"/>
        </w:rPr>
        <w:t>The Management Board of ING Bank Śląski S.A. hereby give notice that on 29 June 2012 the Bank, together with the syndicate of other banks, concluded Annex to the Agreement on increasing the bonds issue programme for a listed company from the power industry by PLN 2.75 billion, thereby totalling PLN 7.05 billion.</w:t>
      </w:r>
    </w:p>
    <w:p w:rsidR="00F9624F" w:rsidRPr="00031F65" w:rsidRDefault="00F9624F" w:rsidP="00F9624F">
      <w:pPr>
        <w:autoSpaceDE w:val="0"/>
        <w:autoSpaceDN w:val="0"/>
        <w:adjustRightInd w:val="0"/>
        <w:jc w:val="both"/>
        <w:rPr>
          <w:color w:val="000000"/>
          <w:lang w:val="en-US"/>
        </w:rPr>
      </w:pPr>
    </w:p>
    <w:p w:rsidR="00F9624F" w:rsidRPr="00031F65" w:rsidRDefault="00F9624F" w:rsidP="00AB03B1">
      <w:pPr>
        <w:autoSpaceDE w:val="0"/>
        <w:autoSpaceDN w:val="0"/>
        <w:adjustRightInd w:val="0"/>
        <w:jc w:val="both"/>
        <w:rPr>
          <w:color w:val="000000"/>
          <w:lang w:val="en-US"/>
        </w:rPr>
      </w:pPr>
      <w:r>
        <w:rPr>
          <w:color w:val="000000"/>
          <w:lang w:val="en-GB"/>
        </w:rPr>
        <w:t xml:space="preserve">The Annex in question provides for, among others, increasing the amount of ING Bank Śląski S.A. bonds programme underwriting by PLN 300 million up to PLN 1,016.14 million. The agreement of the top value was reported with the Bank’s current report no. 29/2011 of 28 October 2011. </w:t>
      </w:r>
    </w:p>
    <w:p w:rsidR="00F9624F" w:rsidRPr="00031F65" w:rsidRDefault="00F9624F" w:rsidP="00F9624F">
      <w:pPr>
        <w:autoSpaceDE w:val="0"/>
        <w:autoSpaceDN w:val="0"/>
        <w:adjustRightInd w:val="0"/>
        <w:jc w:val="both"/>
        <w:rPr>
          <w:color w:val="000000"/>
          <w:lang w:val="en-US"/>
        </w:rPr>
      </w:pPr>
    </w:p>
    <w:p w:rsidR="00F9624F" w:rsidRPr="00031F65" w:rsidRDefault="00F9624F" w:rsidP="00F9624F">
      <w:pPr>
        <w:autoSpaceDE w:val="0"/>
        <w:autoSpaceDN w:val="0"/>
        <w:adjustRightInd w:val="0"/>
        <w:jc w:val="both"/>
        <w:rPr>
          <w:color w:val="000000"/>
          <w:lang w:val="en-US"/>
        </w:rPr>
      </w:pPr>
      <w:r>
        <w:rPr>
          <w:color w:val="000000"/>
          <w:lang w:val="en-GB"/>
        </w:rPr>
        <w:t xml:space="preserve">This agreement has been considered significant, as the total value of exposure exceeds 10% of the Bank’s equity. </w:t>
      </w:r>
    </w:p>
    <w:p w:rsidR="003836CC" w:rsidRPr="00031F65" w:rsidRDefault="003836CC" w:rsidP="002F2429">
      <w:pPr>
        <w:jc w:val="both"/>
        <w:rPr>
          <w:lang w:val="en-US"/>
        </w:rPr>
      </w:pPr>
    </w:p>
    <w:p w:rsidR="00A87544" w:rsidRPr="00031F65" w:rsidRDefault="00906A6D" w:rsidP="00A87544">
      <w:pPr>
        <w:autoSpaceDE w:val="0"/>
        <w:autoSpaceDN w:val="0"/>
        <w:adjustRightInd w:val="0"/>
        <w:ind w:left="1872" w:hanging="1872"/>
        <w:jc w:val="both"/>
        <w:rPr>
          <w:color w:val="000000"/>
          <w:lang w:val="en-US"/>
        </w:rPr>
      </w:pPr>
      <w:r>
        <w:rPr>
          <w:lang w:val="en-GB"/>
        </w:rPr>
        <w:t xml:space="preserve">Legal grounds: </w:t>
      </w:r>
      <w:r>
        <w:rPr>
          <w:color w:val="000000"/>
          <w:lang w:val="en-GB"/>
        </w:rPr>
        <w:t>§ 5 section  1 item 3) of the Ordinance of the Minister of Finance dated 19 February 2009 on current and periodical information provided by securities issuers and conditions for recognising as equivalent the information required by law of a non-Member State (Journal of Laws  No. 33, item  259, as amended).</w:t>
      </w:r>
    </w:p>
    <w:p w:rsidR="00906A6D" w:rsidRPr="00031F65" w:rsidRDefault="00906A6D" w:rsidP="00906A6D">
      <w:pPr>
        <w:ind w:left="1872" w:hanging="1872"/>
        <w:jc w:val="both"/>
        <w:rPr>
          <w:color w:val="000000"/>
          <w:lang w:val="en-US"/>
        </w:rPr>
      </w:pPr>
    </w:p>
    <w:p w:rsidR="003A4F1A" w:rsidRPr="00031F65" w:rsidRDefault="003A4F1A" w:rsidP="002F2429">
      <w:pPr>
        <w:jc w:val="both"/>
        <w:rPr>
          <w:lang w:val="en-US"/>
        </w:rPr>
      </w:pPr>
    </w:p>
    <w:sectPr w:rsidR="003A4F1A" w:rsidRPr="00031F65">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DE5" w:rsidRDefault="00144DE5">
      <w:r>
        <w:separator/>
      </w:r>
    </w:p>
  </w:endnote>
  <w:endnote w:type="continuationSeparator" w:id="0">
    <w:p w:rsidR="00144DE5" w:rsidRDefault="00144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DE5" w:rsidRDefault="00144DE5">
      <w:r>
        <w:separator/>
      </w:r>
    </w:p>
  </w:footnote>
  <w:footnote w:type="continuationSeparator" w:id="0">
    <w:p w:rsidR="00144DE5" w:rsidRDefault="00144D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136" w:rsidRPr="001856DC" w:rsidRDefault="00D95136" w:rsidP="00AE3637">
    <w:pPr>
      <w:pStyle w:val="Nagwek"/>
      <w:jc w:val="center"/>
      <w:rPr>
        <w:spacing w:val="24"/>
      </w:rPr>
    </w:pPr>
  </w:p>
  <w:p w:rsidR="00D95136" w:rsidRDefault="00D9513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E15A3F"/>
    <w:multiLevelType w:val="singleLevel"/>
    <w:tmpl w:val="8F4261F8"/>
    <w:lvl w:ilvl="0">
      <w:start w:val="1"/>
      <w:numFmt w:val="decimal"/>
      <w:pStyle w:val="INFORMACJAPODSTAWOWANUMEROWANA"/>
      <w:lvlText w:val="%1."/>
      <w:lvlJc w:val="left"/>
      <w:pPr>
        <w:tabs>
          <w:tab w:val="num" w:pos="360"/>
        </w:tabs>
        <w:ind w:left="357" w:hanging="357"/>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F1B"/>
    <w:rsid w:val="00007C00"/>
    <w:rsid w:val="000232A4"/>
    <w:rsid w:val="00024D44"/>
    <w:rsid w:val="00025750"/>
    <w:rsid w:val="0002783A"/>
    <w:rsid w:val="000314BF"/>
    <w:rsid w:val="00031F65"/>
    <w:rsid w:val="0003248B"/>
    <w:rsid w:val="00035CE9"/>
    <w:rsid w:val="00036658"/>
    <w:rsid w:val="00051D3B"/>
    <w:rsid w:val="00053D02"/>
    <w:rsid w:val="000653F2"/>
    <w:rsid w:val="00086121"/>
    <w:rsid w:val="00097CDE"/>
    <w:rsid w:val="000B1B75"/>
    <w:rsid w:val="00111831"/>
    <w:rsid w:val="001167D0"/>
    <w:rsid w:val="001200E1"/>
    <w:rsid w:val="00125907"/>
    <w:rsid w:val="00134C3C"/>
    <w:rsid w:val="00137AEF"/>
    <w:rsid w:val="001418BF"/>
    <w:rsid w:val="00144DE5"/>
    <w:rsid w:val="00162A8F"/>
    <w:rsid w:val="001753A4"/>
    <w:rsid w:val="00175E02"/>
    <w:rsid w:val="00186CDD"/>
    <w:rsid w:val="00187AB2"/>
    <w:rsid w:val="001902D1"/>
    <w:rsid w:val="0019073A"/>
    <w:rsid w:val="001A0AA0"/>
    <w:rsid w:val="001A2708"/>
    <w:rsid w:val="001A38BD"/>
    <w:rsid w:val="001D3856"/>
    <w:rsid w:val="00204E3E"/>
    <w:rsid w:val="00231AC8"/>
    <w:rsid w:val="00234CA1"/>
    <w:rsid w:val="00254950"/>
    <w:rsid w:val="002578B2"/>
    <w:rsid w:val="002A5B08"/>
    <w:rsid w:val="002B309D"/>
    <w:rsid w:val="002B37E3"/>
    <w:rsid w:val="002C579C"/>
    <w:rsid w:val="002D0BB5"/>
    <w:rsid w:val="002D484A"/>
    <w:rsid w:val="002E0F69"/>
    <w:rsid w:val="002F2429"/>
    <w:rsid w:val="00301314"/>
    <w:rsid w:val="00312736"/>
    <w:rsid w:val="00323976"/>
    <w:rsid w:val="0033703E"/>
    <w:rsid w:val="00352D20"/>
    <w:rsid w:val="00374F2E"/>
    <w:rsid w:val="003753BC"/>
    <w:rsid w:val="003836CC"/>
    <w:rsid w:val="0038651C"/>
    <w:rsid w:val="00393588"/>
    <w:rsid w:val="003A4F1A"/>
    <w:rsid w:val="003E6F4A"/>
    <w:rsid w:val="003F2B67"/>
    <w:rsid w:val="003F43D4"/>
    <w:rsid w:val="0040363C"/>
    <w:rsid w:val="0040383A"/>
    <w:rsid w:val="00403C51"/>
    <w:rsid w:val="00417248"/>
    <w:rsid w:val="00430DBD"/>
    <w:rsid w:val="00433A26"/>
    <w:rsid w:val="00441B90"/>
    <w:rsid w:val="00456241"/>
    <w:rsid w:val="00461707"/>
    <w:rsid w:val="00461A84"/>
    <w:rsid w:val="004A0817"/>
    <w:rsid w:val="004A25AB"/>
    <w:rsid w:val="004A3BCC"/>
    <w:rsid w:val="004A77B3"/>
    <w:rsid w:val="004C2D3A"/>
    <w:rsid w:val="004C3B0E"/>
    <w:rsid w:val="004C45CB"/>
    <w:rsid w:val="004C4838"/>
    <w:rsid w:val="004E130C"/>
    <w:rsid w:val="004F47DE"/>
    <w:rsid w:val="004F7414"/>
    <w:rsid w:val="00505EBA"/>
    <w:rsid w:val="00523C24"/>
    <w:rsid w:val="00527F1B"/>
    <w:rsid w:val="005368A9"/>
    <w:rsid w:val="00551842"/>
    <w:rsid w:val="00552909"/>
    <w:rsid w:val="00553D51"/>
    <w:rsid w:val="00556BCA"/>
    <w:rsid w:val="00556BD3"/>
    <w:rsid w:val="0059236C"/>
    <w:rsid w:val="00594A01"/>
    <w:rsid w:val="005B091F"/>
    <w:rsid w:val="005B78F2"/>
    <w:rsid w:val="005C47FF"/>
    <w:rsid w:val="005D13E4"/>
    <w:rsid w:val="005E0B5D"/>
    <w:rsid w:val="005F64B6"/>
    <w:rsid w:val="00602584"/>
    <w:rsid w:val="00614E61"/>
    <w:rsid w:val="00624EF4"/>
    <w:rsid w:val="006418FD"/>
    <w:rsid w:val="00642A74"/>
    <w:rsid w:val="00665E56"/>
    <w:rsid w:val="00680517"/>
    <w:rsid w:val="006D3117"/>
    <w:rsid w:val="006D3E75"/>
    <w:rsid w:val="006E50E7"/>
    <w:rsid w:val="007012E7"/>
    <w:rsid w:val="00710E50"/>
    <w:rsid w:val="00717C80"/>
    <w:rsid w:val="00720422"/>
    <w:rsid w:val="007244B9"/>
    <w:rsid w:val="00736135"/>
    <w:rsid w:val="007374D4"/>
    <w:rsid w:val="00752B4C"/>
    <w:rsid w:val="00765713"/>
    <w:rsid w:val="00766DA4"/>
    <w:rsid w:val="00776FBD"/>
    <w:rsid w:val="007833B4"/>
    <w:rsid w:val="00786726"/>
    <w:rsid w:val="00787539"/>
    <w:rsid w:val="00795B0C"/>
    <w:rsid w:val="007B7A37"/>
    <w:rsid w:val="007C3269"/>
    <w:rsid w:val="007E1713"/>
    <w:rsid w:val="007F531B"/>
    <w:rsid w:val="00805A71"/>
    <w:rsid w:val="00806CA2"/>
    <w:rsid w:val="0082025D"/>
    <w:rsid w:val="00826F2B"/>
    <w:rsid w:val="00841811"/>
    <w:rsid w:val="00852269"/>
    <w:rsid w:val="00864ADC"/>
    <w:rsid w:val="008938B4"/>
    <w:rsid w:val="00897199"/>
    <w:rsid w:val="008C3940"/>
    <w:rsid w:val="008C3E6A"/>
    <w:rsid w:val="008D0C7E"/>
    <w:rsid w:val="008D3304"/>
    <w:rsid w:val="008E3288"/>
    <w:rsid w:val="008E60B5"/>
    <w:rsid w:val="008E65BB"/>
    <w:rsid w:val="00905653"/>
    <w:rsid w:val="00906A6D"/>
    <w:rsid w:val="00922B30"/>
    <w:rsid w:val="009352AF"/>
    <w:rsid w:val="00955554"/>
    <w:rsid w:val="0096503E"/>
    <w:rsid w:val="00967531"/>
    <w:rsid w:val="00973B3F"/>
    <w:rsid w:val="00985793"/>
    <w:rsid w:val="009C729F"/>
    <w:rsid w:val="009D68FC"/>
    <w:rsid w:val="009E6893"/>
    <w:rsid w:val="009F37D3"/>
    <w:rsid w:val="00A24AE6"/>
    <w:rsid w:val="00A53914"/>
    <w:rsid w:val="00A72A36"/>
    <w:rsid w:val="00A76D66"/>
    <w:rsid w:val="00A87544"/>
    <w:rsid w:val="00A945FF"/>
    <w:rsid w:val="00AB03B1"/>
    <w:rsid w:val="00AC4CC9"/>
    <w:rsid w:val="00AC712D"/>
    <w:rsid w:val="00AE3637"/>
    <w:rsid w:val="00B07C74"/>
    <w:rsid w:val="00B20595"/>
    <w:rsid w:val="00B25278"/>
    <w:rsid w:val="00B253FF"/>
    <w:rsid w:val="00B2675D"/>
    <w:rsid w:val="00B27267"/>
    <w:rsid w:val="00B41C45"/>
    <w:rsid w:val="00B44EB3"/>
    <w:rsid w:val="00B45775"/>
    <w:rsid w:val="00B45E2B"/>
    <w:rsid w:val="00B50D20"/>
    <w:rsid w:val="00B54149"/>
    <w:rsid w:val="00B56336"/>
    <w:rsid w:val="00B56994"/>
    <w:rsid w:val="00B71DB3"/>
    <w:rsid w:val="00B80647"/>
    <w:rsid w:val="00B83B7E"/>
    <w:rsid w:val="00B902E4"/>
    <w:rsid w:val="00B92391"/>
    <w:rsid w:val="00BA35E5"/>
    <w:rsid w:val="00BB1F96"/>
    <w:rsid w:val="00BC1A1F"/>
    <w:rsid w:val="00BC42A0"/>
    <w:rsid w:val="00C01037"/>
    <w:rsid w:val="00C11829"/>
    <w:rsid w:val="00C627F7"/>
    <w:rsid w:val="00C644D2"/>
    <w:rsid w:val="00C653A9"/>
    <w:rsid w:val="00C73233"/>
    <w:rsid w:val="00C73BEA"/>
    <w:rsid w:val="00C87E58"/>
    <w:rsid w:val="00C95C40"/>
    <w:rsid w:val="00CC2365"/>
    <w:rsid w:val="00CD46DC"/>
    <w:rsid w:val="00CF38B4"/>
    <w:rsid w:val="00D17CB0"/>
    <w:rsid w:val="00D3484A"/>
    <w:rsid w:val="00D37653"/>
    <w:rsid w:val="00D77AF0"/>
    <w:rsid w:val="00D92910"/>
    <w:rsid w:val="00D92C96"/>
    <w:rsid w:val="00D95136"/>
    <w:rsid w:val="00DB34FC"/>
    <w:rsid w:val="00DD26A7"/>
    <w:rsid w:val="00DD752A"/>
    <w:rsid w:val="00E12A8E"/>
    <w:rsid w:val="00E2398C"/>
    <w:rsid w:val="00E336EC"/>
    <w:rsid w:val="00E6365B"/>
    <w:rsid w:val="00E71205"/>
    <w:rsid w:val="00E85C05"/>
    <w:rsid w:val="00EB5308"/>
    <w:rsid w:val="00EB6923"/>
    <w:rsid w:val="00EC6EF4"/>
    <w:rsid w:val="00EE4773"/>
    <w:rsid w:val="00F35AE8"/>
    <w:rsid w:val="00F46E40"/>
    <w:rsid w:val="00F625EF"/>
    <w:rsid w:val="00F64D97"/>
    <w:rsid w:val="00F7040D"/>
    <w:rsid w:val="00F82A30"/>
    <w:rsid w:val="00F8366B"/>
    <w:rsid w:val="00F8727C"/>
    <w:rsid w:val="00F9624F"/>
    <w:rsid w:val="00F97B92"/>
    <w:rsid w:val="00FD7FD4"/>
    <w:rsid w:val="00FE10C3"/>
    <w:rsid w:val="00FE32A2"/>
    <w:rsid w:val="00FE3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sid w:val="00BC42A0"/>
    <w:rPr>
      <w:rFonts w:ascii="Tahoma" w:hAnsi="Tahoma" w:cs="Tahoma"/>
      <w:sz w:val="16"/>
      <w:szCs w:val="16"/>
    </w:rPr>
  </w:style>
  <w:style w:type="paragraph" w:styleId="Nagwek">
    <w:name w:val="header"/>
    <w:basedOn w:val="Normalny"/>
    <w:rsid w:val="00AE3637"/>
    <w:pPr>
      <w:tabs>
        <w:tab w:val="center" w:pos="4536"/>
        <w:tab w:val="right" w:pos="9072"/>
      </w:tabs>
    </w:pPr>
  </w:style>
  <w:style w:type="paragraph" w:styleId="Stopka">
    <w:name w:val="footer"/>
    <w:basedOn w:val="Normalny"/>
    <w:rsid w:val="00AE3637"/>
    <w:pPr>
      <w:tabs>
        <w:tab w:val="center" w:pos="4536"/>
        <w:tab w:val="right" w:pos="9072"/>
      </w:tabs>
    </w:pPr>
  </w:style>
  <w:style w:type="character" w:styleId="Odwoaniedokomentarza">
    <w:name w:val="annotation reference"/>
    <w:semiHidden/>
    <w:rsid w:val="00417248"/>
    <w:rPr>
      <w:sz w:val="16"/>
      <w:szCs w:val="16"/>
    </w:rPr>
  </w:style>
  <w:style w:type="paragraph" w:styleId="Tekstkomentarza">
    <w:name w:val="annotation text"/>
    <w:basedOn w:val="Normalny"/>
    <w:semiHidden/>
    <w:rsid w:val="00417248"/>
    <w:rPr>
      <w:sz w:val="20"/>
      <w:szCs w:val="20"/>
    </w:rPr>
  </w:style>
  <w:style w:type="paragraph" w:styleId="Tematkomentarza">
    <w:name w:val="annotation subject"/>
    <w:basedOn w:val="Tekstkomentarza"/>
    <w:next w:val="Tekstkomentarza"/>
    <w:semiHidden/>
    <w:rsid w:val="00417248"/>
    <w:rPr>
      <w:b/>
      <w:bCs/>
    </w:rPr>
  </w:style>
  <w:style w:type="paragraph" w:customStyle="1" w:styleId="INFORMACJAPODSTAWOWANUMEROWANA">
    <w:name w:val="INFORMACJA PODSTAWOWA NUMEROWANA"/>
    <w:basedOn w:val="Normalny"/>
    <w:rsid w:val="00D92C96"/>
    <w:pPr>
      <w:numPr>
        <w:numId w:val="1"/>
      </w:numPr>
      <w:tabs>
        <w:tab w:val="left" w:pos="0"/>
      </w:tabs>
      <w:spacing w:before="60"/>
      <w:outlineLvl w:val="4"/>
    </w:pPr>
    <w:rPr>
      <w:rFonts w:ascii="Arial" w:hAnsi="Arial" w:cs="Arial"/>
      <w:sz w:val="16"/>
      <w:szCs w:val="16"/>
    </w:rPr>
  </w:style>
  <w:style w:type="paragraph" w:styleId="Tekstpodstawowy">
    <w:name w:val="Body Text"/>
    <w:basedOn w:val="Normalny"/>
    <w:rsid w:val="003A4F1A"/>
    <w:pPr>
      <w:tabs>
        <w:tab w:val="left" w:pos="0"/>
      </w:tabs>
      <w:suppressAutoHyphens/>
      <w:spacing w:line="360" w:lineRule="auto"/>
    </w:pPr>
    <w:rPr>
      <w:rFonts w:ascii="Arial" w:hAnsi="Arial"/>
      <w:b/>
      <w:spacing w:val="-3"/>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sid w:val="00BC42A0"/>
    <w:rPr>
      <w:rFonts w:ascii="Tahoma" w:hAnsi="Tahoma" w:cs="Tahoma"/>
      <w:sz w:val="16"/>
      <w:szCs w:val="16"/>
    </w:rPr>
  </w:style>
  <w:style w:type="paragraph" w:styleId="Nagwek">
    <w:name w:val="header"/>
    <w:basedOn w:val="Normalny"/>
    <w:rsid w:val="00AE3637"/>
    <w:pPr>
      <w:tabs>
        <w:tab w:val="center" w:pos="4536"/>
        <w:tab w:val="right" w:pos="9072"/>
      </w:tabs>
    </w:pPr>
  </w:style>
  <w:style w:type="paragraph" w:styleId="Stopka">
    <w:name w:val="footer"/>
    <w:basedOn w:val="Normalny"/>
    <w:rsid w:val="00AE3637"/>
    <w:pPr>
      <w:tabs>
        <w:tab w:val="center" w:pos="4536"/>
        <w:tab w:val="right" w:pos="9072"/>
      </w:tabs>
    </w:pPr>
  </w:style>
  <w:style w:type="character" w:styleId="Odwoaniedokomentarza">
    <w:name w:val="annotation reference"/>
    <w:semiHidden/>
    <w:rsid w:val="00417248"/>
    <w:rPr>
      <w:sz w:val="16"/>
      <w:szCs w:val="16"/>
    </w:rPr>
  </w:style>
  <w:style w:type="paragraph" w:styleId="Tekstkomentarza">
    <w:name w:val="annotation text"/>
    <w:basedOn w:val="Normalny"/>
    <w:semiHidden/>
    <w:rsid w:val="00417248"/>
    <w:rPr>
      <w:sz w:val="20"/>
      <w:szCs w:val="20"/>
    </w:rPr>
  </w:style>
  <w:style w:type="paragraph" w:styleId="Tematkomentarza">
    <w:name w:val="annotation subject"/>
    <w:basedOn w:val="Tekstkomentarza"/>
    <w:next w:val="Tekstkomentarza"/>
    <w:semiHidden/>
    <w:rsid w:val="00417248"/>
    <w:rPr>
      <w:b/>
      <w:bCs/>
    </w:rPr>
  </w:style>
  <w:style w:type="paragraph" w:customStyle="1" w:styleId="INFORMACJAPODSTAWOWANUMEROWANA">
    <w:name w:val="INFORMACJA PODSTAWOWA NUMEROWANA"/>
    <w:basedOn w:val="Normalny"/>
    <w:rsid w:val="00D92C96"/>
    <w:pPr>
      <w:numPr>
        <w:numId w:val="1"/>
      </w:numPr>
      <w:tabs>
        <w:tab w:val="left" w:pos="0"/>
      </w:tabs>
      <w:spacing w:before="60"/>
      <w:outlineLvl w:val="4"/>
    </w:pPr>
    <w:rPr>
      <w:rFonts w:ascii="Arial" w:hAnsi="Arial" w:cs="Arial"/>
      <w:sz w:val="16"/>
      <w:szCs w:val="16"/>
    </w:rPr>
  </w:style>
  <w:style w:type="paragraph" w:styleId="Tekstpodstawowy">
    <w:name w:val="Body Text"/>
    <w:basedOn w:val="Normalny"/>
    <w:rsid w:val="003A4F1A"/>
    <w:pPr>
      <w:tabs>
        <w:tab w:val="left" w:pos="0"/>
      </w:tabs>
      <w:suppressAutoHyphens/>
      <w:spacing w:line="360" w:lineRule="auto"/>
    </w:pPr>
    <w:rPr>
      <w:rFonts w:ascii="Arial" w:hAnsi="Arial"/>
      <w:b/>
      <w:spacing w:val="-3"/>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9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Id="rId1" Target="numbering.xml" Type="http://schemas.openxmlformats.org/officeDocument/2006/relationships/numbering"/>
<Relationship Id="rId10" Target="theme/theme1.xml" Type="http://schemas.openxmlformats.org/officeDocument/2006/relationships/theme"/>
<Relationship Id="rId2" Target="styles.xml" Type="http://schemas.openxmlformats.org/officeDocument/2006/relationships/styles"/>
<Relationship Id="rId3" Target="stylesWithEffects.xml" Type="http://schemas.microsoft.com/office/2007/relationships/stylesWithEffects"/>
<Relationship Id="rId4" Target="settings.xml" Type="http://schemas.openxmlformats.org/officeDocument/2006/relationships/settings"/>
<Relationship Id="rId5" Target="webSettings.xml" Type="http://schemas.openxmlformats.org/officeDocument/2006/relationships/webSettings"/>
<Relationship Id="rId6" Target="footnotes.xml" Type="http://schemas.openxmlformats.org/officeDocument/2006/relationships/footnotes"/>
<Relationship Id="rId7" Target="endnotes.xml" Type="http://schemas.openxmlformats.org/officeDocument/2006/relationships/endnotes"/>
<Relationship Id="rId8" Target="header1.xml" Type="http://schemas.openxmlformats.org/officeDocument/2006/relationships/header"/>
<Relationship Id="rId9" Target="fontTable.xml" Type="http://schemas.openxmlformats.org/officeDocument/2006/relationships/fontTable"/>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B10B6D42.dotm</Template>
  <TotalTime>0</TotalTime>
  <Pages>1</Pages>
  <Words>180</Words>
  <Characters>927</Characters>
  <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2004-08-10 raport nr 23/2004: Zarejestrowanie zmian w statucie ING Banku Śląskiego S</vt:lpstr>
    </vt:vector>
  </TitlesOfParts>
  <Company/>
  <LinksUpToDate>false</LinksUpToDate>
  <CharactersWithSpaces>1105</CharactersWithSpaces>
  <SharedDoc>false</SharedDoc>
  <HyperlinksChanged>false</HyperlinksChanged>
  <AppVersion/>
</Properties>
</file>

<file path=docProps/core.xml><?xml version="1.0" encoding="utf-8"?>
<cp:coreProperties xmlns:cp="http://schemas.openxmlformats.org/package/2006/metadata/core-properties" xmlns:dc="http://purl.org/dc/elements/1.1/" xmlns:dcterms="http://purl.org/dc/terms/" xmlns:xsi="http://www.w3.org/2001/XMLSchema-instance">
  <cp:lastModifiedBy>Anna Roehrich-Szwugier</cp:lastModifiedBy>
  <cp:revision>3</cp:revision>
</cp:coreProperties>
</file>