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BE4" w:rsidRPr="00DB72F6" w:rsidRDefault="00452021" w:rsidP="00DB72F6">
      <w:pPr>
        <w:jc w:val="both"/>
        <w:rPr>
          <w:b/>
          <w:bCs/>
          <w:i/>
          <w:color w:val="000000"/>
          <w:u w:val="single"/>
        </w:rPr>
      </w:pPr>
      <w:bookmarkStart w:id="0" w:name="_Toc97622674"/>
      <w:r w:rsidRPr="00D021EC">
        <w:rPr>
          <w:b/>
          <w:bCs/>
          <w:i/>
          <w:iCs/>
          <w:u w:val="single"/>
          <w:lang w:val="en-GB"/>
        </w:rPr>
        <w:t>2013-03</w:t>
      </w:r>
      <w:r w:rsidR="00D021EC" w:rsidRPr="00D021EC">
        <w:rPr>
          <w:b/>
          <w:bCs/>
          <w:i/>
          <w:iCs/>
          <w:u w:val="single"/>
          <w:lang w:val="en-GB"/>
        </w:rPr>
        <w:t>-18</w:t>
      </w:r>
      <w:r w:rsidRPr="00D021EC">
        <w:rPr>
          <w:b/>
          <w:bCs/>
          <w:i/>
          <w:iCs/>
          <w:u w:val="single"/>
          <w:lang w:val="en-GB"/>
        </w:rPr>
        <w:t xml:space="preserve"> Report no.</w:t>
      </w:r>
      <w:r w:rsidR="0088330C" w:rsidRPr="00D021EC">
        <w:rPr>
          <w:b/>
          <w:bCs/>
          <w:i/>
          <w:iCs/>
          <w:u w:val="single"/>
          <w:lang w:val="en-GB"/>
        </w:rPr>
        <w:t xml:space="preserve"> </w:t>
      </w:r>
      <w:r w:rsidR="006460F9">
        <w:rPr>
          <w:b/>
          <w:bCs/>
          <w:i/>
          <w:iCs/>
          <w:u w:val="single"/>
          <w:lang w:val="en-GB"/>
        </w:rPr>
        <w:t>08</w:t>
      </w:r>
      <w:bookmarkStart w:id="1" w:name="_GoBack"/>
      <w:bookmarkEnd w:id="1"/>
      <w:r w:rsidRPr="00D021EC">
        <w:rPr>
          <w:b/>
          <w:bCs/>
          <w:i/>
          <w:iCs/>
          <w:u w:val="single"/>
          <w:lang w:val="en-GB"/>
        </w:rPr>
        <w:t>/2013:</w:t>
      </w:r>
      <w:bookmarkEnd w:id="0"/>
      <w:r w:rsidRPr="00D021EC">
        <w:rPr>
          <w:b/>
          <w:bCs/>
          <w:i/>
          <w:iCs/>
          <w:color w:val="000000"/>
          <w:u w:val="single"/>
          <w:lang w:val="en-GB"/>
        </w:rPr>
        <w:t xml:space="preserve"> as regards non-application by ING Bank </w:t>
      </w:r>
      <w:proofErr w:type="spellStart"/>
      <w:r w:rsidRPr="00D021EC">
        <w:rPr>
          <w:b/>
          <w:bCs/>
          <w:i/>
          <w:iCs/>
          <w:color w:val="000000"/>
          <w:u w:val="single"/>
          <w:lang w:val="en-GB"/>
        </w:rPr>
        <w:t>Śląski</w:t>
      </w:r>
      <w:proofErr w:type="spellEnd"/>
      <w:r w:rsidRPr="00D021EC">
        <w:rPr>
          <w:b/>
          <w:bCs/>
          <w:i/>
          <w:iCs/>
          <w:color w:val="000000"/>
          <w:u w:val="single"/>
          <w:lang w:val="en-GB"/>
        </w:rPr>
        <w:t xml:space="preserve"> S.A. </w:t>
      </w:r>
      <w:r w:rsidR="006C1A27" w:rsidRPr="00D021EC">
        <w:rPr>
          <w:b/>
          <w:bCs/>
          <w:i/>
          <w:iCs/>
          <w:color w:val="000000"/>
          <w:u w:val="single"/>
          <w:lang w:val="en-GB"/>
        </w:rPr>
        <w:t>of rule IV.10</w:t>
      </w:r>
      <w:r w:rsidRPr="00D021EC">
        <w:rPr>
          <w:b/>
          <w:bCs/>
          <w:i/>
          <w:iCs/>
          <w:color w:val="000000"/>
          <w:u w:val="single"/>
          <w:lang w:val="en-GB"/>
        </w:rPr>
        <w:t xml:space="preserve"> of the Code of Best Practice for </w:t>
      </w:r>
      <w:r w:rsidR="002F2D62" w:rsidRPr="00D021EC">
        <w:rPr>
          <w:b/>
          <w:bCs/>
          <w:i/>
          <w:iCs/>
          <w:color w:val="000000"/>
          <w:u w:val="single"/>
          <w:lang w:val="en-GB"/>
        </w:rPr>
        <w:t xml:space="preserve">Companies </w:t>
      </w:r>
      <w:r w:rsidR="00FF014B" w:rsidRPr="00D021EC">
        <w:rPr>
          <w:b/>
          <w:bCs/>
          <w:i/>
          <w:iCs/>
          <w:color w:val="000000"/>
          <w:u w:val="single"/>
          <w:lang w:val="en-GB"/>
        </w:rPr>
        <w:t>Listed on the Warsaw Stock Exchange</w:t>
      </w:r>
    </w:p>
    <w:p w:rsidR="00D97483" w:rsidRPr="0088330C" w:rsidRDefault="00D97483" w:rsidP="00132EB4">
      <w:pPr>
        <w:pStyle w:val="Tekstpodstawowy"/>
        <w:rPr>
          <w:b/>
          <w:lang w:val="en-US"/>
        </w:rPr>
      </w:pPr>
    </w:p>
    <w:p w:rsidR="002E60F3" w:rsidRPr="0088330C" w:rsidRDefault="002E60F3" w:rsidP="00132EB4">
      <w:pPr>
        <w:pStyle w:val="Tekstpodstawowy"/>
        <w:rPr>
          <w:b/>
          <w:lang w:val="en-US"/>
        </w:rPr>
      </w:pPr>
    </w:p>
    <w:p w:rsidR="009F5E61" w:rsidRPr="009F5E61" w:rsidRDefault="006C1A27" w:rsidP="009F5E61">
      <w:pPr>
        <w:jc w:val="both"/>
        <w:rPr>
          <w:color w:val="000000"/>
        </w:rPr>
      </w:pPr>
      <w:r>
        <w:rPr>
          <w:color w:val="000000"/>
          <w:lang w:val="en-GB"/>
        </w:rPr>
        <w:t>Acting in ac</w:t>
      </w:r>
      <w:r w:rsidR="004D207A">
        <w:rPr>
          <w:color w:val="000000"/>
          <w:lang w:val="en-GB"/>
        </w:rPr>
        <w:t>cordance with §29.3 of T</w:t>
      </w:r>
      <w:r>
        <w:rPr>
          <w:color w:val="000000"/>
          <w:lang w:val="en-GB"/>
        </w:rPr>
        <w:t>he Warsaw Stock Exchange Rules, t</w:t>
      </w:r>
      <w:r w:rsidR="002E60F3">
        <w:rPr>
          <w:color w:val="000000"/>
          <w:lang w:val="en-GB"/>
        </w:rPr>
        <w:t xml:space="preserve">he Management Board of ING Bank </w:t>
      </w:r>
      <w:proofErr w:type="spellStart"/>
      <w:r w:rsidR="002E60F3">
        <w:rPr>
          <w:color w:val="000000"/>
          <w:lang w:val="en-GB"/>
        </w:rPr>
        <w:t>Śląski</w:t>
      </w:r>
      <w:proofErr w:type="spellEnd"/>
      <w:r w:rsidR="002E60F3">
        <w:rPr>
          <w:color w:val="000000"/>
          <w:lang w:val="en-GB"/>
        </w:rPr>
        <w:t xml:space="preserve"> S.A. hereby give notice that</w:t>
      </w:r>
      <w:r>
        <w:rPr>
          <w:color w:val="000000"/>
          <w:lang w:val="en-GB"/>
        </w:rPr>
        <w:t xml:space="preserve"> they resolved</w:t>
      </w:r>
      <w:r w:rsidR="002E60F3">
        <w:rPr>
          <w:color w:val="000000"/>
          <w:lang w:val="en-GB"/>
        </w:rPr>
        <w:t xml:space="preserve"> </w:t>
      </w:r>
      <w:r>
        <w:rPr>
          <w:color w:val="000000"/>
          <w:lang w:val="en-GB"/>
        </w:rPr>
        <w:t xml:space="preserve">– </w:t>
      </w:r>
      <w:r w:rsidR="004D207A">
        <w:rPr>
          <w:color w:val="000000"/>
          <w:lang w:val="en-GB"/>
        </w:rPr>
        <w:t>as part of the decision-t</w:t>
      </w:r>
      <w:r w:rsidR="002E60F3">
        <w:rPr>
          <w:color w:val="000000"/>
          <w:lang w:val="en-GB"/>
        </w:rPr>
        <w:t>aking process conc</w:t>
      </w:r>
      <w:r w:rsidR="001A5A54">
        <w:rPr>
          <w:color w:val="000000"/>
          <w:lang w:val="en-GB"/>
        </w:rPr>
        <w:t xml:space="preserve">erning </w:t>
      </w:r>
      <w:r>
        <w:rPr>
          <w:color w:val="000000"/>
          <w:lang w:val="en-GB"/>
        </w:rPr>
        <w:t xml:space="preserve">the </w:t>
      </w:r>
      <w:r w:rsidR="001A5A54">
        <w:rPr>
          <w:color w:val="000000"/>
          <w:lang w:val="en-GB"/>
        </w:rPr>
        <w:t>convocation of the Ordinary</w:t>
      </w:r>
      <w:r w:rsidR="002E60F3">
        <w:rPr>
          <w:color w:val="000000"/>
          <w:lang w:val="en-GB"/>
        </w:rPr>
        <w:t xml:space="preserve"> General Meeting</w:t>
      </w:r>
      <w:r>
        <w:rPr>
          <w:color w:val="000000"/>
          <w:lang w:val="en-GB"/>
        </w:rPr>
        <w:t xml:space="preserve"> – not to apply the rule</w:t>
      </w:r>
      <w:r w:rsidR="002E60F3">
        <w:rPr>
          <w:color w:val="000000"/>
          <w:lang w:val="en-GB"/>
        </w:rPr>
        <w:t xml:space="preserve"> stipulated in </w:t>
      </w:r>
      <w:r>
        <w:rPr>
          <w:color w:val="000000"/>
          <w:lang w:val="en-GB"/>
        </w:rPr>
        <w:t>Section</w:t>
      </w:r>
      <w:r w:rsidR="002E60F3">
        <w:rPr>
          <w:color w:val="000000"/>
          <w:lang w:val="en-GB"/>
        </w:rPr>
        <w:t xml:space="preserve"> IV</w:t>
      </w:r>
      <w:r>
        <w:rPr>
          <w:color w:val="000000"/>
          <w:lang w:val="en-GB"/>
        </w:rPr>
        <w:t>.</w:t>
      </w:r>
      <w:r w:rsidR="002E60F3">
        <w:rPr>
          <w:color w:val="000000"/>
          <w:lang w:val="en-GB"/>
        </w:rPr>
        <w:t xml:space="preserve"> 10 of the Code of Best Practice for WSE Listed Companies (“The Best Practices”) </w:t>
      </w:r>
      <w:proofErr w:type="spellStart"/>
      <w:r w:rsidR="002E60F3">
        <w:rPr>
          <w:color w:val="000000"/>
          <w:lang w:val="en-GB"/>
        </w:rPr>
        <w:t>whereunder</w:t>
      </w:r>
      <w:proofErr w:type="spellEnd"/>
      <w:r w:rsidR="002E60F3">
        <w:rPr>
          <w:color w:val="000000"/>
          <w:lang w:val="en-GB"/>
        </w:rPr>
        <w:t xml:space="preserve"> shareholders may </w:t>
      </w:r>
      <w:r w:rsidR="001A5A54">
        <w:rPr>
          <w:color w:val="000000"/>
          <w:lang w:val="en-GB"/>
        </w:rPr>
        <w:t xml:space="preserve">take the floor during the </w:t>
      </w:r>
      <w:r w:rsidR="002E60F3">
        <w:rPr>
          <w:color w:val="000000"/>
          <w:lang w:val="en-GB"/>
        </w:rPr>
        <w:t>General Meeting from a</w:t>
      </w:r>
      <w:r w:rsidR="001A5A54">
        <w:rPr>
          <w:color w:val="000000"/>
          <w:lang w:val="en-GB"/>
        </w:rPr>
        <w:t xml:space="preserve"> location other than the </w:t>
      </w:r>
      <w:r w:rsidR="002E60F3">
        <w:rPr>
          <w:color w:val="000000"/>
          <w:lang w:val="en-GB"/>
        </w:rPr>
        <w:t>General Meeting.</w:t>
      </w:r>
    </w:p>
    <w:p w:rsidR="009F5E61" w:rsidRDefault="009F5E61" w:rsidP="009F5E61">
      <w:pPr>
        <w:jc w:val="both"/>
        <w:rPr>
          <w:color w:val="000000"/>
        </w:rPr>
      </w:pPr>
    </w:p>
    <w:p w:rsidR="009F5E61" w:rsidRDefault="009F5E61" w:rsidP="009F5E61">
      <w:pPr>
        <w:jc w:val="both"/>
        <w:rPr>
          <w:color w:val="000000"/>
        </w:rPr>
      </w:pPr>
      <w:r>
        <w:rPr>
          <w:color w:val="000000"/>
          <w:lang w:val="en-GB"/>
        </w:rPr>
        <w:t>The said decision was taken on account of the risk</w:t>
      </w:r>
      <w:r w:rsidR="004D207A">
        <w:rPr>
          <w:color w:val="000000"/>
          <w:lang w:val="en-GB"/>
        </w:rPr>
        <w:t>s</w:t>
      </w:r>
      <w:r>
        <w:rPr>
          <w:color w:val="000000"/>
          <w:lang w:val="en-GB"/>
        </w:rPr>
        <w:t xml:space="preserve"> of legal</w:t>
      </w:r>
      <w:r w:rsidR="004D207A">
        <w:rPr>
          <w:color w:val="000000"/>
          <w:lang w:val="en-GB"/>
        </w:rPr>
        <w:t>-</w:t>
      </w:r>
      <w:r>
        <w:rPr>
          <w:color w:val="000000"/>
          <w:lang w:val="en-GB"/>
        </w:rPr>
        <w:t xml:space="preserve"> as well as organisational</w:t>
      </w:r>
      <w:r w:rsidR="004D207A">
        <w:rPr>
          <w:color w:val="000000"/>
          <w:lang w:val="en-GB"/>
        </w:rPr>
        <w:t>-</w:t>
      </w:r>
      <w:r>
        <w:rPr>
          <w:color w:val="000000"/>
          <w:lang w:val="en-GB"/>
        </w:rPr>
        <w:t xml:space="preserve"> and technical nature related to providing shareholders not partici</w:t>
      </w:r>
      <w:r w:rsidR="001A5A54">
        <w:rPr>
          <w:color w:val="000000"/>
          <w:lang w:val="en-GB"/>
        </w:rPr>
        <w:t xml:space="preserve">pating personally in the </w:t>
      </w:r>
      <w:r w:rsidR="004D207A">
        <w:rPr>
          <w:color w:val="000000"/>
          <w:lang w:val="en-GB"/>
        </w:rPr>
        <w:t>General Meeting with real-</w:t>
      </w:r>
      <w:r>
        <w:rPr>
          <w:color w:val="000000"/>
          <w:lang w:val="en-GB"/>
        </w:rPr>
        <w:t xml:space="preserve">time bilateral communication with the use of electronic communication means, which may negatively </w:t>
      </w:r>
      <w:r w:rsidR="001A5A54">
        <w:rPr>
          <w:color w:val="000000"/>
          <w:lang w:val="en-GB"/>
        </w:rPr>
        <w:t xml:space="preserve">impact the course of the </w:t>
      </w:r>
      <w:r>
        <w:rPr>
          <w:color w:val="000000"/>
          <w:lang w:val="en-GB"/>
        </w:rPr>
        <w:t>General Meeting.</w:t>
      </w:r>
    </w:p>
    <w:p w:rsidR="009F5E61" w:rsidRDefault="009F5E61" w:rsidP="009F5E61">
      <w:pPr>
        <w:jc w:val="both"/>
        <w:rPr>
          <w:color w:val="000000"/>
        </w:rPr>
      </w:pPr>
    </w:p>
    <w:p w:rsidR="009F5E61" w:rsidRDefault="004D207A" w:rsidP="009F5E61">
      <w:pPr>
        <w:jc w:val="both"/>
        <w:rPr>
          <w:color w:val="000000"/>
        </w:rPr>
      </w:pPr>
      <w:r>
        <w:rPr>
          <w:color w:val="000000"/>
          <w:lang w:val="en-GB"/>
        </w:rPr>
        <w:t>In the opinion of</w:t>
      </w:r>
      <w:r w:rsidR="009F5E61">
        <w:rPr>
          <w:color w:val="000000"/>
          <w:lang w:val="en-GB"/>
        </w:rPr>
        <w:t xml:space="preserve"> the Management Board the currently binding principles of p</w:t>
      </w:r>
      <w:r w:rsidR="001A5A54">
        <w:rPr>
          <w:color w:val="000000"/>
          <w:lang w:val="en-GB"/>
        </w:rPr>
        <w:t xml:space="preserve">articipation in the Bank </w:t>
      </w:r>
      <w:r w:rsidR="009F5E61">
        <w:rPr>
          <w:color w:val="000000"/>
          <w:lang w:val="en-GB"/>
        </w:rPr>
        <w:t xml:space="preserve">General Meeting secure the interests of shareholders </w:t>
      </w:r>
      <w:r>
        <w:rPr>
          <w:color w:val="000000"/>
          <w:lang w:val="en-GB"/>
        </w:rPr>
        <w:t>and enable</w:t>
      </w:r>
      <w:r w:rsidR="009F5E61">
        <w:rPr>
          <w:color w:val="000000"/>
          <w:lang w:val="en-GB"/>
        </w:rPr>
        <w:t xml:space="preserve"> them to exercise all </w:t>
      </w:r>
      <w:r>
        <w:rPr>
          <w:color w:val="000000"/>
          <w:lang w:val="en-GB"/>
        </w:rPr>
        <w:t>the rights arising from their</w:t>
      </w:r>
      <w:r w:rsidR="009F5E61">
        <w:rPr>
          <w:color w:val="000000"/>
          <w:lang w:val="en-GB"/>
        </w:rPr>
        <w:t xml:space="preserve"> shares.</w:t>
      </w:r>
    </w:p>
    <w:p w:rsidR="009F5E61" w:rsidRDefault="009F5E61" w:rsidP="009F5E61">
      <w:pPr>
        <w:jc w:val="both"/>
        <w:rPr>
          <w:color w:val="000000"/>
        </w:rPr>
      </w:pPr>
    </w:p>
    <w:p w:rsidR="009F5E61" w:rsidRDefault="009F5E61" w:rsidP="009F5E61">
      <w:pPr>
        <w:jc w:val="both"/>
        <w:rPr>
          <w:color w:val="000000"/>
        </w:rPr>
      </w:pPr>
      <w:r>
        <w:rPr>
          <w:color w:val="000000"/>
          <w:lang w:val="en-GB"/>
        </w:rPr>
        <w:t>At the same time, the Bank Management Board her</w:t>
      </w:r>
      <w:r w:rsidR="001A5A54">
        <w:rPr>
          <w:color w:val="000000"/>
          <w:lang w:val="en-GB"/>
        </w:rPr>
        <w:t xml:space="preserve">eby give notice that the </w:t>
      </w:r>
      <w:r>
        <w:rPr>
          <w:color w:val="000000"/>
          <w:lang w:val="en-GB"/>
        </w:rPr>
        <w:t>General Meet</w:t>
      </w:r>
      <w:r w:rsidR="004D207A">
        <w:rPr>
          <w:color w:val="000000"/>
          <w:lang w:val="en-GB"/>
        </w:rPr>
        <w:t>ing will be broadcast over the I</w:t>
      </w:r>
      <w:r>
        <w:rPr>
          <w:color w:val="000000"/>
          <w:lang w:val="en-GB"/>
        </w:rPr>
        <w:t>nternet, as in the previous years.</w:t>
      </w:r>
    </w:p>
    <w:p w:rsidR="009F5E61" w:rsidRPr="009F5E61" w:rsidRDefault="009F5E61" w:rsidP="009F5E61">
      <w:pPr>
        <w:jc w:val="both"/>
        <w:rPr>
          <w:color w:val="000000"/>
        </w:rPr>
      </w:pPr>
    </w:p>
    <w:p w:rsidR="002E60F3" w:rsidRDefault="002E60F3" w:rsidP="002E60F3"/>
    <w:p w:rsidR="002E60F3" w:rsidRPr="002E60F3" w:rsidRDefault="002E60F3" w:rsidP="002E60F3"/>
    <w:p w:rsidR="002E60F3" w:rsidRPr="002E60F3" w:rsidRDefault="002E60F3" w:rsidP="009F5E61">
      <w:pPr>
        <w:ind w:left="1872" w:hanging="1872"/>
        <w:jc w:val="both"/>
        <w:rPr>
          <w:b/>
        </w:rPr>
      </w:pPr>
      <w:r>
        <w:rPr>
          <w:color w:val="000000"/>
          <w:lang w:val="en-GB"/>
        </w:rPr>
        <w:t xml:space="preserve">Legal grounds: </w:t>
      </w:r>
      <w:r>
        <w:rPr>
          <w:color w:val="000000"/>
          <w:lang w:val="en-GB"/>
        </w:rPr>
        <w:tab/>
        <w:t>§29</w:t>
      </w:r>
      <w:r w:rsidR="004D207A">
        <w:rPr>
          <w:color w:val="000000"/>
          <w:lang w:val="en-GB"/>
        </w:rPr>
        <w:t>.3</w:t>
      </w:r>
      <w:r>
        <w:rPr>
          <w:color w:val="000000"/>
          <w:lang w:val="en-GB"/>
        </w:rPr>
        <w:t xml:space="preserve"> of </w:t>
      </w:r>
      <w:r w:rsidR="004D207A">
        <w:rPr>
          <w:color w:val="000000"/>
          <w:lang w:val="en-GB"/>
        </w:rPr>
        <w:t>The Warsaw Stock Exchange</w:t>
      </w:r>
      <w:r>
        <w:rPr>
          <w:color w:val="000000"/>
          <w:lang w:val="en-GB"/>
        </w:rPr>
        <w:t xml:space="preserve"> Rules.</w:t>
      </w:r>
    </w:p>
    <w:sectPr w:rsidR="002E60F3" w:rsidRPr="002E60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A27" w:rsidRDefault="006C1A27">
      <w:r>
        <w:separator/>
      </w:r>
    </w:p>
  </w:endnote>
  <w:endnote w:type="continuationSeparator" w:id="0">
    <w:p w:rsidR="006C1A27" w:rsidRDefault="006C1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A27" w:rsidRDefault="006C1A27">
      <w:r>
        <w:separator/>
      </w:r>
    </w:p>
  </w:footnote>
  <w:footnote w:type="continuationSeparator" w:id="0">
    <w:p w:rsidR="006C1A27" w:rsidRDefault="006C1A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6061A"/>
    <w:multiLevelType w:val="hybridMultilevel"/>
    <w:tmpl w:val="A358EA20"/>
    <w:lvl w:ilvl="0" w:tplc="B04E1AF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20"/>
        </w:tabs>
        <w:ind w:left="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140"/>
        </w:tabs>
        <w:ind w:left="1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AMO_XmlVersion" w:val="Empty"/>
  </w:docVars>
  <w:rsids>
    <w:rsidRoot w:val="004B7501"/>
    <w:rsid w:val="00007E85"/>
    <w:rsid w:val="00017737"/>
    <w:rsid w:val="00024CA6"/>
    <w:rsid w:val="00026179"/>
    <w:rsid w:val="000347DE"/>
    <w:rsid w:val="00060E46"/>
    <w:rsid w:val="000C4F0D"/>
    <w:rsid w:val="000D0B5B"/>
    <w:rsid w:val="00102B32"/>
    <w:rsid w:val="0010572B"/>
    <w:rsid w:val="00132EB4"/>
    <w:rsid w:val="00163F70"/>
    <w:rsid w:val="001A5A54"/>
    <w:rsid w:val="001E1866"/>
    <w:rsid w:val="002A67ED"/>
    <w:rsid w:val="002B1CA9"/>
    <w:rsid w:val="002E60F3"/>
    <w:rsid w:val="002F2D62"/>
    <w:rsid w:val="003076F6"/>
    <w:rsid w:val="00356E47"/>
    <w:rsid w:val="003938A3"/>
    <w:rsid w:val="003A3E59"/>
    <w:rsid w:val="004139FD"/>
    <w:rsid w:val="0043519E"/>
    <w:rsid w:val="00452021"/>
    <w:rsid w:val="004B7501"/>
    <w:rsid w:val="004D207A"/>
    <w:rsid w:val="004D28AF"/>
    <w:rsid w:val="00551446"/>
    <w:rsid w:val="005552DF"/>
    <w:rsid w:val="00563EFC"/>
    <w:rsid w:val="0056484C"/>
    <w:rsid w:val="005E068C"/>
    <w:rsid w:val="006405D8"/>
    <w:rsid w:val="00643C83"/>
    <w:rsid w:val="006460F9"/>
    <w:rsid w:val="006536F4"/>
    <w:rsid w:val="006762C3"/>
    <w:rsid w:val="00684F36"/>
    <w:rsid w:val="006A009A"/>
    <w:rsid w:val="006A77E3"/>
    <w:rsid w:val="006C0BA3"/>
    <w:rsid w:val="006C1A27"/>
    <w:rsid w:val="006D7307"/>
    <w:rsid w:val="006E7F98"/>
    <w:rsid w:val="006F1911"/>
    <w:rsid w:val="00705304"/>
    <w:rsid w:val="00706F5E"/>
    <w:rsid w:val="00750A06"/>
    <w:rsid w:val="00750BE4"/>
    <w:rsid w:val="0077468C"/>
    <w:rsid w:val="007800D7"/>
    <w:rsid w:val="007826DB"/>
    <w:rsid w:val="007B36CB"/>
    <w:rsid w:val="007F0EA6"/>
    <w:rsid w:val="007F176F"/>
    <w:rsid w:val="0088330C"/>
    <w:rsid w:val="008A02C9"/>
    <w:rsid w:val="008B0724"/>
    <w:rsid w:val="008B350B"/>
    <w:rsid w:val="008B7301"/>
    <w:rsid w:val="008D74AE"/>
    <w:rsid w:val="008E2DCA"/>
    <w:rsid w:val="008F01DE"/>
    <w:rsid w:val="00910588"/>
    <w:rsid w:val="009758D0"/>
    <w:rsid w:val="009A3B00"/>
    <w:rsid w:val="009A5286"/>
    <w:rsid w:val="009E3611"/>
    <w:rsid w:val="009F5E61"/>
    <w:rsid w:val="00A3539F"/>
    <w:rsid w:val="00A41367"/>
    <w:rsid w:val="00A616FC"/>
    <w:rsid w:val="00A61FBB"/>
    <w:rsid w:val="00AB28EE"/>
    <w:rsid w:val="00AB39F9"/>
    <w:rsid w:val="00AF4575"/>
    <w:rsid w:val="00B164C1"/>
    <w:rsid w:val="00B41764"/>
    <w:rsid w:val="00B644B0"/>
    <w:rsid w:val="00B74308"/>
    <w:rsid w:val="00B847CF"/>
    <w:rsid w:val="00B8720B"/>
    <w:rsid w:val="00BA2D6F"/>
    <w:rsid w:val="00BC452D"/>
    <w:rsid w:val="00BF5414"/>
    <w:rsid w:val="00C16A46"/>
    <w:rsid w:val="00C22DBB"/>
    <w:rsid w:val="00C27974"/>
    <w:rsid w:val="00C379FB"/>
    <w:rsid w:val="00C6166D"/>
    <w:rsid w:val="00CB24EA"/>
    <w:rsid w:val="00D01746"/>
    <w:rsid w:val="00D021EC"/>
    <w:rsid w:val="00D02299"/>
    <w:rsid w:val="00D33C80"/>
    <w:rsid w:val="00D44D5D"/>
    <w:rsid w:val="00D570FB"/>
    <w:rsid w:val="00D60B5F"/>
    <w:rsid w:val="00D960B6"/>
    <w:rsid w:val="00D97483"/>
    <w:rsid w:val="00DB72F6"/>
    <w:rsid w:val="00DC4E0E"/>
    <w:rsid w:val="00E123A3"/>
    <w:rsid w:val="00E2555B"/>
    <w:rsid w:val="00E2606B"/>
    <w:rsid w:val="00E26F8E"/>
    <w:rsid w:val="00F256A0"/>
    <w:rsid w:val="00F25828"/>
    <w:rsid w:val="00F43395"/>
    <w:rsid w:val="00F568C2"/>
    <w:rsid w:val="00F926B9"/>
    <w:rsid w:val="00FB152A"/>
    <w:rsid w:val="00FF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E1866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1E1866"/>
    <w:rPr>
      <w:sz w:val="20"/>
      <w:szCs w:val="20"/>
    </w:rPr>
  </w:style>
  <w:style w:type="character" w:styleId="Odwoanieprzypisudolnego">
    <w:name w:val="footnote reference"/>
    <w:semiHidden/>
    <w:rsid w:val="001E1866"/>
    <w:rPr>
      <w:vertAlign w:val="superscript"/>
    </w:rPr>
  </w:style>
  <w:style w:type="paragraph" w:styleId="Tekstpodstawowy">
    <w:name w:val="Body Text"/>
    <w:basedOn w:val="Normalny"/>
    <w:rsid w:val="001E1866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pl-PL"/>
    </w:rPr>
  </w:style>
  <w:style w:type="table" w:styleId="Tabela-Lista3">
    <w:name w:val="Table List 3"/>
    <w:basedOn w:val="Standardowy"/>
    <w:rsid w:val="001E1866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Odwoaniedokomentarza">
    <w:name w:val="annotation reference"/>
    <w:semiHidden/>
    <w:rsid w:val="009A3B00"/>
    <w:rPr>
      <w:sz w:val="16"/>
      <w:szCs w:val="16"/>
    </w:rPr>
  </w:style>
  <w:style w:type="paragraph" w:styleId="Tekstkomentarza">
    <w:name w:val="annotation text"/>
    <w:basedOn w:val="Normalny"/>
    <w:semiHidden/>
    <w:rsid w:val="009A3B0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A3B00"/>
    <w:rPr>
      <w:b/>
      <w:bCs/>
    </w:rPr>
  </w:style>
  <w:style w:type="paragraph" w:styleId="Tekstdymka">
    <w:name w:val="Balloon Text"/>
    <w:basedOn w:val="Normalny"/>
    <w:semiHidden/>
    <w:rsid w:val="009A3B0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8E2DCA"/>
    <w:pPr>
      <w:tabs>
        <w:tab w:val="center" w:pos="4536"/>
        <w:tab w:val="right" w:pos="9072"/>
      </w:tabs>
      <w:spacing w:line="280" w:lineRule="exact"/>
    </w:pPr>
    <w:rPr>
      <w:rFonts w:ascii="Verdana" w:hAnsi="Verdana"/>
      <w:sz w:val="20"/>
      <w:szCs w:val="20"/>
      <w:lang w:val="pl-PL" w:eastAsia="pl-PL"/>
    </w:rPr>
  </w:style>
  <w:style w:type="paragraph" w:customStyle="1" w:styleId="BodytextING">
    <w:name w:val="Body text ING"/>
    <w:basedOn w:val="Normalny"/>
    <w:rsid w:val="008E2DCA"/>
    <w:pPr>
      <w:spacing w:line="280" w:lineRule="exact"/>
    </w:pPr>
    <w:rPr>
      <w:rFonts w:ascii="Verdana" w:hAnsi="Verdana"/>
      <w:sz w:val="20"/>
      <w:szCs w:val="20"/>
      <w:lang w:val="en-GB" w:eastAsia="nl-NL"/>
    </w:rPr>
  </w:style>
  <w:style w:type="character" w:styleId="Hipercze">
    <w:name w:val="Hyperlink"/>
    <w:rsid w:val="008E2DCA"/>
    <w:rPr>
      <w:color w:val="0000FF"/>
      <w:u w:val="single"/>
    </w:rPr>
  </w:style>
  <w:style w:type="table" w:styleId="Tabela-Siatka">
    <w:name w:val="Table Grid"/>
    <w:basedOn w:val="Standardowy"/>
    <w:rsid w:val="002A67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semiHidden/>
    <w:rsid w:val="00C16A46"/>
    <w:rPr>
      <w:sz w:val="20"/>
      <w:szCs w:val="20"/>
    </w:rPr>
  </w:style>
  <w:style w:type="character" w:styleId="Odwoanieprzypisukocowego">
    <w:name w:val="endnote reference"/>
    <w:semiHidden/>
    <w:rsid w:val="00C16A4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E1866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1E1866"/>
    <w:rPr>
      <w:sz w:val="20"/>
      <w:szCs w:val="20"/>
    </w:rPr>
  </w:style>
  <w:style w:type="character" w:styleId="Odwoanieprzypisudolnego">
    <w:name w:val="footnote reference"/>
    <w:semiHidden/>
    <w:rsid w:val="001E1866"/>
    <w:rPr>
      <w:vertAlign w:val="superscript"/>
    </w:rPr>
  </w:style>
  <w:style w:type="paragraph" w:styleId="Tekstpodstawowy">
    <w:name w:val="Body Text"/>
    <w:basedOn w:val="Normalny"/>
    <w:rsid w:val="001E1866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pl-PL"/>
    </w:rPr>
  </w:style>
  <w:style w:type="table" w:styleId="Tabela-Lista3">
    <w:name w:val="Table List 3"/>
    <w:basedOn w:val="Standardowy"/>
    <w:rsid w:val="001E1866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Odwoaniedokomentarza">
    <w:name w:val="annotation reference"/>
    <w:semiHidden/>
    <w:rsid w:val="009A3B00"/>
    <w:rPr>
      <w:sz w:val="16"/>
      <w:szCs w:val="16"/>
    </w:rPr>
  </w:style>
  <w:style w:type="paragraph" w:styleId="Tekstkomentarza">
    <w:name w:val="annotation text"/>
    <w:basedOn w:val="Normalny"/>
    <w:semiHidden/>
    <w:rsid w:val="009A3B0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A3B00"/>
    <w:rPr>
      <w:b/>
      <w:bCs/>
    </w:rPr>
  </w:style>
  <w:style w:type="paragraph" w:styleId="Tekstdymka">
    <w:name w:val="Balloon Text"/>
    <w:basedOn w:val="Normalny"/>
    <w:semiHidden/>
    <w:rsid w:val="009A3B0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8E2DCA"/>
    <w:pPr>
      <w:tabs>
        <w:tab w:val="center" w:pos="4536"/>
        <w:tab w:val="right" w:pos="9072"/>
      </w:tabs>
      <w:spacing w:line="280" w:lineRule="exact"/>
    </w:pPr>
    <w:rPr>
      <w:rFonts w:ascii="Verdana" w:hAnsi="Verdana"/>
      <w:sz w:val="20"/>
      <w:szCs w:val="20"/>
      <w:lang w:val="pl-PL" w:eastAsia="pl-PL"/>
    </w:rPr>
  </w:style>
  <w:style w:type="paragraph" w:customStyle="1" w:styleId="BodytextING">
    <w:name w:val="Body text ING"/>
    <w:basedOn w:val="Normalny"/>
    <w:rsid w:val="008E2DCA"/>
    <w:pPr>
      <w:spacing w:line="280" w:lineRule="exact"/>
    </w:pPr>
    <w:rPr>
      <w:rFonts w:ascii="Verdana" w:hAnsi="Verdana"/>
      <w:sz w:val="20"/>
      <w:szCs w:val="20"/>
      <w:lang w:val="en-GB" w:eastAsia="nl-NL"/>
    </w:rPr>
  </w:style>
  <w:style w:type="character" w:styleId="Hipercze">
    <w:name w:val="Hyperlink"/>
    <w:rsid w:val="008E2DCA"/>
    <w:rPr>
      <w:color w:val="0000FF"/>
      <w:u w:val="single"/>
    </w:rPr>
  </w:style>
  <w:style w:type="table" w:styleId="Tabela-Siatka">
    <w:name w:val="Table Grid"/>
    <w:basedOn w:val="Standardowy"/>
    <w:rsid w:val="002A67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semiHidden/>
    <w:rsid w:val="00C16A46"/>
    <w:rPr>
      <w:sz w:val="20"/>
      <w:szCs w:val="20"/>
    </w:rPr>
  </w:style>
  <w:style w:type="character" w:styleId="Odwoanieprzypisukocowego">
    <w:name w:val="endnote reference"/>
    <w:semiHidden/>
    <w:rsid w:val="00C16A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<Relationship Id="rId1" Target="numbering.xml" Type="http://schemas.openxmlformats.org/officeDocument/2006/relationships/numbering"/>
<Relationship Id="rId2" Target="styles.xml" Type="http://schemas.openxmlformats.org/officeDocument/2006/relationships/styles"/>
<Relationship Id="rId3" Target="stylesWithEffects.xml" Type="http://schemas.microsoft.com/office/2007/relationships/stylesWithEffects"/>
<Relationship Id="rId4" Target="settings.xml" Type="http://schemas.openxmlformats.org/officeDocument/2006/relationships/settings"/>
<Relationship Id="rId5" Target="webSettings.xml" Type="http://schemas.openxmlformats.org/officeDocument/2006/relationships/webSettings"/>
<Relationship Id="rId6" Target="footnotes.xml" Type="http://schemas.openxmlformats.org/officeDocument/2006/relationships/footnotes"/>
<Relationship Id="rId7" Target="endnotes.xml" Type="http://schemas.openxmlformats.org/officeDocument/2006/relationships/endnotes"/>
<Relationship Id="rId8" Target="fontTable.xml" Type="http://schemas.openxmlformats.org/officeDocument/2006/relationships/fontTable"/>
<Relationship Id="rId9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B586D750</Template>
  <TotalTime>0</TotalTime>
  <Pages>1</Pages>
  <Words>230</Words>
  <Characters>1231</Characters>
  <Application/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 2005 roku grupa kapitałowa ING Banku Śląskiego S</vt:lpstr>
    </vt:vector>
  </TitlesOfParts>
  <Company/>
  <LinksUpToDate>false</LinksUpToDate>
  <CharactersWithSpaces>1459</CharactersWithSpaces>
  <SharedDoc>false</SharedDoc>
  <HyperlinksChanged>false</HyperlinksChanged>
  <AppVersion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Roehrich-Szwugier Anna BANK</cp:lastModifiedBy>
  <cp:revision>7</cp:revision>
</cp:coreProperties>
</file>